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84" w:lineRule="exact"/>
        <w:rPr>
          <w:sz w:val="24"/>
          <w:szCs w:val="24"/>
          <w:color w:val="auto"/>
        </w:rPr>
      </w:pPr>
    </w:p>
    <w:p>
      <w:pPr>
        <w:ind w:left="2160"/>
        <w:spacing w:after="0" w:line="502" w:lineRule="exact"/>
        <w:rPr>
          <w:sz w:val="20"/>
          <w:szCs w:val="20"/>
          <w:color w:val="auto"/>
        </w:rPr>
      </w:pPr>
      <w:r>
        <w:rPr>
          <w:rFonts w:ascii="宋体" w:cs="宋体" w:eastAsia="宋体" w:hAnsi="宋体"/>
          <w:sz w:val="44"/>
          <w:szCs w:val="44"/>
          <w:color w:val="auto"/>
        </w:rPr>
        <w:t>住房公积金信息化建设导则</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8" w:lineRule="exact"/>
        <w:rPr>
          <w:sz w:val="24"/>
          <w:szCs w:val="24"/>
          <w:color w:val="auto"/>
        </w:rPr>
      </w:pPr>
    </w:p>
    <w:p>
      <w:pPr>
        <w:jc w:val="center"/>
        <w:ind w:left="4180"/>
        <w:spacing w:after="0" w:line="411" w:lineRule="exact"/>
        <w:tabs>
          <w:tab w:leader="none" w:pos="340" w:val="left"/>
        </w:tabs>
        <w:rPr>
          <w:sz w:val="20"/>
          <w:szCs w:val="20"/>
          <w:color w:val="auto"/>
        </w:rPr>
      </w:pPr>
      <w:r>
        <w:rPr>
          <w:rFonts w:ascii="黑体" w:cs="黑体" w:eastAsia="黑体" w:hAnsi="黑体"/>
          <w:sz w:val="36"/>
          <w:szCs w:val="36"/>
          <w:color w:val="auto"/>
        </w:rPr>
        <w:t>1</w:t>
        <w:tab/>
        <w:t>总则</w:t>
      </w:r>
    </w:p>
    <w:p>
      <w:pPr>
        <w:spacing w:after="0" w:line="275" w:lineRule="exact"/>
        <w:rPr>
          <w:sz w:val="24"/>
          <w:szCs w:val="24"/>
          <w:color w:val="auto"/>
        </w:rPr>
      </w:pPr>
    </w:p>
    <w:p>
      <w:pPr>
        <w:jc w:val="both"/>
        <w:ind w:left="540" w:right="140" w:firstLine="640"/>
        <w:spacing w:after="0" w:line="531" w:lineRule="exact"/>
        <w:rPr>
          <w:sz w:val="20"/>
          <w:szCs w:val="20"/>
          <w:color w:val="auto"/>
        </w:rPr>
      </w:pPr>
      <w:r>
        <w:rPr>
          <w:rFonts w:ascii="仿宋" w:cs="仿宋" w:eastAsia="仿宋" w:hAnsi="仿宋"/>
          <w:sz w:val="32"/>
          <w:szCs w:val="32"/>
          <w:color w:val="auto"/>
        </w:rPr>
        <w:t>1.1 为指导各地住房公积金管理中心（以下简称公积金中心）信息化建设，依据《住房公积金基础数据标准》、《住房公积金信息系统技术规范》及相关法律法规、政策规定和标准规范，制定本导则。</w:t>
      </w:r>
    </w:p>
    <w:p>
      <w:pPr>
        <w:spacing w:after="0" w:line="239" w:lineRule="exact"/>
        <w:rPr>
          <w:sz w:val="24"/>
          <w:szCs w:val="24"/>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1.2</w:t>
      </w:r>
      <w:r>
        <w:rPr>
          <w:sz w:val="20"/>
          <w:szCs w:val="20"/>
          <w:color w:val="auto"/>
        </w:rPr>
        <w:tab/>
      </w:r>
      <w:r>
        <w:rPr>
          <w:rFonts w:ascii="仿宋" w:cs="仿宋" w:eastAsia="仿宋" w:hAnsi="仿宋"/>
          <w:sz w:val="31"/>
          <w:szCs w:val="31"/>
          <w:color w:val="auto"/>
        </w:rPr>
        <w:t>本导则适用于各地住房公积金信息化建设工作。</w:t>
      </w:r>
    </w:p>
    <w:p>
      <w:pPr>
        <w:spacing w:after="0" w:line="273" w:lineRule="exact"/>
        <w:rPr>
          <w:sz w:val="24"/>
          <w:szCs w:val="24"/>
          <w:color w:val="auto"/>
        </w:rPr>
      </w:pPr>
    </w:p>
    <w:p>
      <w:pPr>
        <w:ind w:left="540" w:firstLine="640"/>
        <w:spacing w:after="0" w:line="508" w:lineRule="exact"/>
        <w:rPr>
          <w:sz w:val="20"/>
          <w:szCs w:val="20"/>
          <w:color w:val="auto"/>
        </w:rPr>
      </w:pPr>
      <w:r>
        <w:rPr>
          <w:rFonts w:ascii="仿宋" w:cs="仿宋" w:eastAsia="仿宋" w:hAnsi="仿宋"/>
          <w:sz w:val="32"/>
          <w:szCs w:val="32"/>
          <w:color w:val="auto"/>
        </w:rPr>
        <w:t>1.3 本导则所指的住房公积金信息化建设包括公积金中心信息系统建设和运行维护管理、项目管理、数据资源管理、服务外包等工作。</w:t>
      </w:r>
    </w:p>
    <w:p>
      <w:pPr>
        <w:spacing w:after="0" w:line="276" w:lineRule="exact"/>
        <w:rPr>
          <w:sz w:val="24"/>
          <w:szCs w:val="24"/>
          <w:color w:val="auto"/>
        </w:rPr>
      </w:pPr>
    </w:p>
    <w:p>
      <w:pPr>
        <w:jc w:val="both"/>
        <w:ind w:left="540" w:right="140" w:firstLine="640"/>
        <w:spacing w:after="0" w:line="508" w:lineRule="exact"/>
        <w:rPr>
          <w:sz w:val="20"/>
          <w:szCs w:val="20"/>
          <w:color w:val="auto"/>
        </w:rPr>
      </w:pPr>
      <w:r>
        <w:rPr>
          <w:rFonts w:ascii="仿宋" w:cs="仿宋" w:eastAsia="仿宋" w:hAnsi="仿宋"/>
          <w:sz w:val="32"/>
          <w:szCs w:val="32"/>
          <w:color w:val="auto"/>
        </w:rPr>
        <w:t>1.4 住房公积金信息化建设应以缴存职工为中心，以便捷服务为导向，在保证资金和信息安全的前提下，组织开展工作。</w:t>
      </w:r>
    </w:p>
    <w:p>
      <w:pPr>
        <w:spacing w:after="0" w:line="200" w:lineRule="exact"/>
        <w:rPr>
          <w:sz w:val="24"/>
          <w:szCs w:val="24"/>
          <w:color w:val="auto"/>
        </w:rPr>
      </w:pPr>
    </w:p>
    <w:p>
      <w:pPr>
        <w:spacing w:after="0" w:line="200" w:lineRule="exact"/>
        <w:rPr>
          <w:sz w:val="24"/>
          <w:szCs w:val="24"/>
          <w:color w:val="auto"/>
        </w:rPr>
      </w:pPr>
    </w:p>
    <w:p>
      <w:pPr>
        <w:spacing w:after="0" w:line="391" w:lineRule="exact"/>
        <w:rPr>
          <w:sz w:val="24"/>
          <w:szCs w:val="24"/>
          <w:color w:val="auto"/>
        </w:rPr>
      </w:pPr>
    </w:p>
    <w:p>
      <w:pPr>
        <w:ind w:left="3800"/>
        <w:spacing w:after="0" w:line="411" w:lineRule="exact"/>
        <w:tabs>
          <w:tab w:leader="none" w:pos="4320" w:val="left"/>
        </w:tabs>
        <w:rPr>
          <w:sz w:val="20"/>
          <w:szCs w:val="20"/>
          <w:color w:val="auto"/>
        </w:rPr>
      </w:pPr>
      <w:r>
        <w:rPr>
          <w:rFonts w:ascii="黑体" w:cs="黑体" w:eastAsia="黑体" w:hAnsi="黑体"/>
          <w:sz w:val="36"/>
          <w:szCs w:val="36"/>
          <w:color w:val="auto"/>
        </w:rPr>
        <w:t>2</w:t>
        <w:tab/>
        <w:t>基本要求</w:t>
      </w:r>
    </w:p>
    <w:p>
      <w:pPr>
        <w:spacing w:after="0" w:line="275" w:lineRule="exact"/>
        <w:rPr>
          <w:sz w:val="24"/>
          <w:szCs w:val="24"/>
          <w:color w:val="auto"/>
        </w:rPr>
      </w:pPr>
    </w:p>
    <w:p>
      <w:pPr>
        <w:ind w:left="540" w:right="180" w:firstLine="640"/>
        <w:spacing w:after="0" w:line="463" w:lineRule="exact"/>
        <w:rPr>
          <w:sz w:val="20"/>
          <w:szCs w:val="20"/>
          <w:color w:val="auto"/>
        </w:rPr>
      </w:pPr>
      <w:r>
        <w:rPr>
          <w:rFonts w:ascii="仿宋" w:cs="仿宋" w:eastAsia="仿宋" w:hAnsi="仿宋"/>
          <w:sz w:val="32"/>
          <w:szCs w:val="32"/>
          <w:color w:val="auto"/>
        </w:rPr>
        <w:t>2.1 住房公积金信息化建设应满足规范性、实用性、安全性和可扩展性的要求。</w:t>
      </w:r>
    </w:p>
    <w:p>
      <w:pPr>
        <w:spacing w:after="0" w:line="275" w:lineRule="exact"/>
        <w:rPr>
          <w:sz w:val="24"/>
          <w:szCs w:val="24"/>
          <w:color w:val="auto"/>
        </w:rPr>
      </w:pPr>
    </w:p>
    <w:p>
      <w:pPr>
        <w:ind w:left="540" w:right="180" w:firstLine="640"/>
        <w:spacing w:after="0" w:line="463" w:lineRule="exact"/>
        <w:rPr>
          <w:sz w:val="20"/>
          <w:szCs w:val="20"/>
          <w:color w:val="auto"/>
        </w:rPr>
      </w:pPr>
      <w:r>
        <w:rPr>
          <w:rFonts w:ascii="仿宋" w:cs="仿宋" w:eastAsia="仿宋" w:hAnsi="仿宋"/>
          <w:sz w:val="32"/>
          <w:szCs w:val="32"/>
          <w:color w:val="auto"/>
        </w:rPr>
        <w:t>2.2 规范性。住房公积金信息化建设应符合国家、地方信息化建设的方针、政策和相关标准规范要求。</w:t>
      </w:r>
    </w:p>
    <w:p>
      <w:pPr>
        <w:spacing w:after="0" w:line="275" w:lineRule="exact"/>
        <w:rPr>
          <w:sz w:val="24"/>
          <w:szCs w:val="24"/>
          <w:color w:val="auto"/>
        </w:rPr>
      </w:pPr>
    </w:p>
    <w:p>
      <w:pPr>
        <w:ind w:left="540" w:right="160" w:firstLine="640"/>
        <w:spacing w:after="0" w:line="463" w:lineRule="exact"/>
        <w:rPr>
          <w:sz w:val="20"/>
          <w:szCs w:val="20"/>
          <w:color w:val="auto"/>
        </w:rPr>
      </w:pPr>
      <w:r>
        <w:rPr>
          <w:rFonts w:ascii="仿宋" w:cs="仿宋" w:eastAsia="仿宋" w:hAnsi="仿宋"/>
          <w:sz w:val="31"/>
          <w:szCs w:val="31"/>
          <w:color w:val="auto"/>
        </w:rPr>
        <w:t>2.3 实用性。公积金中心在系统建设中，应充分考虑未来五年业务发展，配置与业务规模相适应的经济、实用的基础</w:t>
      </w:r>
    </w:p>
    <w:p>
      <w:pPr>
        <w:spacing w:after="0" w:line="200" w:lineRule="exact"/>
        <w:rPr>
          <w:sz w:val="24"/>
          <w:szCs w:val="24"/>
          <w:color w:val="auto"/>
        </w:rPr>
      </w:pPr>
    </w:p>
    <w:p>
      <w:pPr>
        <w:spacing w:after="0" w:line="200" w:lineRule="exact"/>
        <w:rPr>
          <w:sz w:val="24"/>
          <w:szCs w:val="24"/>
          <w:color w:val="auto"/>
        </w:rPr>
      </w:pPr>
    </w:p>
    <w:p>
      <w:pPr>
        <w:spacing w:after="0" w:line="250" w:lineRule="exact"/>
        <w:rPr>
          <w:sz w:val="24"/>
          <w:szCs w:val="24"/>
          <w:color w:val="auto"/>
        </w:rPr>
      </w:pPr>
    </w:p>
    <w:p>
      <w:pPr>
        <w:jc w:val="center"/>
        <w:ind w:right="-379"/>
        <w:spacing w:after="0" w:line="274" w:lineRule="exact"/>
        <w:rPr>
          <w:sz w:val="20"/>
          <w:szCs w:val="20"/>
          <w:color w:val="auto"/>
        </w:rPr>
      </w:pPr>
      <w:r>
        <w:rPr>
          <w:rFonts w:ascii="宋体" w:cs="宋体" w:eastAsia="宋体" w:hAnsi="宋体"/>
          <w:sz w:val="24"/>
          <w:szCs w:val="24"/>
          <w:color w:val="auto"/>
        </w:rPr>
        <w:t>- 2 -</w:t>
      </w:r>
    </w:p>
    <w:p>
      <w:pPr>
        <w:sectPr>
          <w:pgSz w:w="11900" w:h="16840" w:orient="portrait"/>
          <w:cols w:equalWidth="0" w:num="1">
            <w:col w:w="9200"/>
          </w:cols>
          <w:pgMar w:left="1440" w:top="1440" w:right="1264" w:bottom="467" w:gutter="0" w:footer="0" w:header="0"/>
        </w:sectPr>
      </w:pPr>
    </w:p>
    <w:bookmarkStart w:id="1" w:name="page2"/>
    <w:bookmarkEnd w:id="1"/>
    <w:p>
      <w:pPr>
        <w:spacing w:after="0" w:line="14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设施；在系统升级改造中，应注意保护既有投资成果，避免重</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复建设、过度投资。</w:t>
      </w:r>
    </w:p>
    <w:p>
      <w:pPr>
        <w:spacing w:after="0" w:line="235"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2.4</w:t>
      </w:r>
      <w:r>
        <w:rPr>
          <w:sz w:val="20"/>
          <w:szCs w:val="20"/>
          <w:color w:val="auto"/>
        </w:rPr>
        <w:tab/>
      </w:r>
      <w:r>
        <w:rPr>
          <w:rFonts w:ascii="仿宋" w:cs="仿宋" w:eastAsia="仿宋" w:hAnsi="仿宋"/>
          <w:sz w:val="31"/>
          <w:szCs w:val="31"/>
          <w:color w:val="auto"/>
        </w:rPr>
        <w:t>安全性。住房公积金信息化建设应符合国家有关的</w:t>
      </w:r>
    </w:p>
    <w:p>
      <w:pPr>
        <w:spacing w:after="0" w:line="258" w:lineRule="exact"/>
        <w:rPr>
          <w:sz w:val="20"/>
          <w:szCs w:val="20"/>
          <w:color w:val="auto"/>
        </w:rPr>
      </w:pPr>
    </w:p>
    <w:p>
      <w:pPr>
        <w:ind w:left="540"/>
        <w:spacing w:after="0" w:line="343" w:lineRule="exact"/>
        <w:rPr>
          <w:sz w:val="20"/>
          <w:szCs w:val="20"/>
          <w:color w:val="auto"/>
        </w:rPr>
      </w:pPr>
      <w:r>
        <w:rPr>
          <w:rFonts w:ascii="仿宋" w:cs="仿宋" w:eastAsia="仿宋" w:hAnsi="仿宋"/>
          <w:sz w:val="30"/>
          <w:szCs w:val="30"/>
          <w:color w:val="auto"/>
        </w:rPr>
        <w:t>安全标准规范，建立安全管理制度，安排专业人员或专业机构，</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保证系统安全、稳定运行。</w:t>
      </w:r>
    </w:p>
    <w:p>
      <w:pPr>
        <w:spacing w:after="0" w:line="235"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2.5</w:t>
      </w:r>
      <w:r>
        <w:rPr>
          <w:sz w:val="20"/>
          <w:szCs w:val="20"/>
          <w:color w:val="auto"/>
        </w:rPr>
        <w:tab/>
      </w:r>
      <w:r>
        <w:rPr>
          <w:rFonts w:ascii="仿宋" w:cs="仿宋" w:eastAsia="仿宋" w:hAnsi="仿宋"/>
          <w:sz w:val="31"/>
          <w:szCs w:val="31"/>
          <w:color w:val="auto"/>
        </w:rPr>
        <w:t>可扩展性。公积金中心信息系统可根据住房公积金</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业务发展的变化，及时增加相应的系统功能，满足业务管理和</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服务的需求。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379"/>
        <w:spacing w:after="0" w:line="274" w:lineRule="exact"/>
        <w:rPr>
          <w:sz w:val="20"/>
          <w:szCs w:val="20"/>
          <w:color w:val="auto"/>
        </w:rPr>
      </w:pPr>
      <w:r>
        <w:rPr>
          <w:rFonts w:ascii="宋体" w:cs="宋体" w:eastAsia="宋体" w:hAnsi="宋体"/>
          <w:sz w:val="24"/>
          <w:szCs w:val="24"/>
          <w:color w:val="auto"/>
        </w:rPr>
        <w:t>- 3 -</w:t>
      </w:r>
    </w:p>
    <w:p>
      <w:pPr>
        <w:sectPr>
          <w:pgSz w:w="11900" w:h="16840" w:orient="portrait"/>
          <w:cols w:equalWidth="0" w:num="1">
            <w:col w:w="9200"/>
          </w:cols>
          <w:pgMar w:left="1440" w:top="1440" w:right="1264" w:bottom="467" w:gutter="0" w:footer="0" w:header="0"/>
        </w:sectPr>
      </w:pPr>
    </w:p>
    <w:bookmarkStart w:id="2" w:name="page3"/>
    <w:bookmarkEnd w:id="2"/>
    <w:p>
      <w:pPr>
        <w:spacing w:after="0" w:line="98" w:lineRule="exact"/>
        <w:rPr>
          <w:sz w:val="20"/>
          <w:szCs w:val="20"/>
          <w:color w:val="auto"/>
        </w:rPr>
      </w:pPr>
    </w:p>
    <w:p>
      <w:pPr>
        <w:ind w:left="3800"/>
        <w:spacing w:after="0" w:line="411" w:lineRule="exact"/>
        <w:tabs>
          <w:tab w:leader="none" w:pos="4320" w:val="left"/>
        </w:tabs>
        <w:rPr>
          <w:sz w:val="20"/>
          <w:szCs w:val="20"/>
          <w:color w:val="auto"/>
        </w:rPr>
      </w:pPr>
      <w:r>
        <w:rPr>
          <w:rFonts w:ascii="黑体" w:cs="黑体" w:eastAsia="黑体" w:hAnsi="黑体"/>
          <w:sz w:val="36"/>
          <w:szCs w:val="36"/>
          <w:color w:val="auto"/>
        </w:rPr>
        <w:t>3</w:t>
        <w:tab/>
        <w:t>建设要点</w:t>
      </w:r>
    </w:p>
    <w:p>
      <w:pPr>
        <w:spacing w:after="0" w:line="275" w:lineRule="exact"/>
        <w:rPr>
          <w:sz w:val="20"/>
          <w:szCs w:val="20"/>
          <w:color w:val="auto"/>
        </w:rPr>
      </w:pPr>
    </w:p>
    <w:p>
      <w:pPr>
        <w:jc w:val="both"/>
        <w:ind w:left="540" w:firstLine="640"/>
        <w:spacing w:after="0" w:line="508" w:lineRule="exact"/>
        <w:rPr>
          <w:sz w:val="20"/>
          <w:szCs w:val="20"/>
          <w:color w:val="auto"/>
        </w:rPr>
      </w:pPr>
      <w:r>
        <w:rPr>
          <w:rFonts w:ascii="仿宋" w:cs="仿宋" w:eastAsia="仿宋" w:hAnsi="仿宋"/>
          <w:sz w:val="32"/>
          <w:szCs w:val="32"/>
          <w:color w:val="auto"/>
        </w:rPr>
        <w:t>3.1 公积金中心信息系统建设应包括便捷服务、高效业务处理、支持异地转移接续和贷款、风险防控、辅助决策支持、安全保障六方面内容。</w:t>
      </w:r>
    </w:p>
    <w:p>
      <w:pPr>
        <w:spacing w:after="0" w:line="276" w:lineRule="exact"/>
        <w:rPr>
          <w:sz w:val="20"/>
          <w:szCs w:val="20"/>
          <w:color w:val="auto"/>
        </w:rPr>
      </w:pPr>
    </w:p>
    <w:p>
      <w:pPr>
        <w:ind w:left="540" w:right="20" w:firstLine="640"/>
        <w:spacing w:after="0" w:line="463" w:lineRule="exact"/>
        <w:rPr>
          <w:sz w:val="20"/>
          <w:szCs w:val="20"/>
          <w:color w:val="auto"/>
        </w:rPr>
      </w:pPr>
      <w:r>
        <w:rPr>
          <w:rFonts w:ascii="仿宋" w:cs="仿宋" w:eastAsia="仿宋" w:hAnsi="仿宋"/>
          <w:sz w:val="32"/>
          <w:szCs w:val="32"/>
          <w:color w:val="auto"/>
        </w:rPr>
        <w:t>3.2 应建立综合服务平台，提供多渠道、多形式的便捷服务，满足缴存职工个性化服务要求。</w:t>
      </w:r>
    </w:p>
    <w:p>
      <w:pPr>
        <w:spacing w:after="0" w:line="275" w:lineRule="exact"/>
        <w:rPr>
          <w:sz w:val="20"/>
          <w:szCs w:val="20"/>
          <w:color w:val="auto"/>
        </w:rPr>
      </w:pPr>
    </w:p>
    <w:p>
      <w:pPr>
        <w:jc w:val="both"/>
        <w:ind w:left="540" w:firstLine="640"/>
        <w:spacing w:after="0" w:line="508" w:lineRule="exact"/>
        <w:rPr>
          <w:sz w:val="20"/>
          <w:szCs w:val="20"/>
          <w:color w:val="auto"/>
        </w:rPr>
      </w:pPr>
      <w:r>
        <w:rPr>
          <w:rFonts w:ascii="仿宋" w:cs="仿宋" w:eastAsia="仿宋" w:hAnsi="仿宋"/>
          <w:sz w:val="32"/>
          <w:szCs w:val="32"/>
          <w:color w:val="auto"/>
        </w:rPr>
        <w:t>3.3 应建立简明高效的归集、提取、贷款业务处理系统，采用全国统一的银行结算应用系统，实现业务驱动财务、自动对账、自动平衡检查的会计核算机制。</w:t>
      </w:r>
    </w:p>
    <w:p>
      <w:pPr>
        <w:spacing w:after="0" w:line="276" w:lineRule="exact"/>
        <w:rPr>
          <w:sz w:val="20"/>
          <w:szCs w:val="20"/>
          <w:color w:val="auto"/>
        </w:rPr>
      </w:pPr>
    </w:p>
    <w:p>
      <w:pPr>
        <w:ind w:left="540" w:right="20" w:firstLine="640"/>
        <w:spacing w:after="0" w:line="463" w:lineRule="exact"/>
        <w:rPr>
          <w:sz w:val="20"/>
          <w:szCs w:val="20"/>
          <w:color w:val="auto"/>
        </w:rPr>
      </w:pPr>
      <w:r>
        <w:rPr>
          <w:rFonts w:ascii="仿宋" w:cs="仿宋" w:eastAsia="仿宋" w:hAnsi="仿宋"/>
          <w:sz w:val="32"/>
          <w:szCs w:val="32"/>
          <w:color w:val="auto"/>
        </w:rPr>
        <w:t>3.4 应通过统一接口，接入全国住房公积金结算应用系统，实现异地转移接续和贷款功能（附录一）。</w:t>
      </w:r>
    </w:p>
    <w:p>
      <w:pPr>
        <w:spacing w:after="0" w:line="275" w:lineRule="exact"/>
        <w:rPr>
          <w:sz w:val="20"/>
          <w:szCs w:val="20"/>
          <w:color w:val="auto"/>
        </w:rPr>
      </w:pPr>
    </w:p>
    <w:p>
      <w:pPr>
        <w:ind w:left="540" w:right="20" w:firstLine="640"/>
        <w:spacing w:after="0" w:line="463" w:lineRule="exact"/>
        <w:rPr>
          <w:sz w:val="20"/>
          <w:szCs w:val="20"/>
          <w:color w:val="auto"/>
        </w:rPr>
      </w:pPr>
      <w:r>
        <w:rPr>
          <w:rFonts w:ascii="仿宋" w:cs="仿宋" w:eastAsia="仿宋" w:hAnsi="仿宋"/>
          <w:sz w:val="32"/>
          <w:szCs w:val="32"/>
          <w:color w:val="auto"/>
        </w:rPr>
        <w:t>3.5 应建立风险防控体系，确保住房公积金资金规范安全运作。</w:t>
      </w:r>
    </w:p>
    <w:p>
      <w:pPr>
        <w:spacing w:after="0" w:line="275" w:lineRule="exact"/>
        <w:rPr>
          <w:sz w:val="20"/>
          <w:szCs w:val="20"/>
          <w:color w:val="auto"/>
        </w:rPr>
      </w:pPr>
    </w:p>
    <w:p>
      <w:pPr>
        <w:ind w:left="540" w:right="20" w:firstLine="640"/>
        <w:spacing w:after="0" w:line="463" w:lineRule="exact"/>
        <w:rPr>
          <w:sz w:val="20"/>
          <w:szCs w:val="20"/>
          <w:color w:val="auto"/>
        </w:rPr>
      </w:pPr>
      <w:r>
        <w:rPr>
          <w:rFonts w:ascii="仿宋" w:cs="仿宋" w:eastAsia="仿宋" w:hAnsi="仿宋"/>
          <w:sz w:val="32"/>
          <w:szCs w:val="32"/>
          <w:color w:val="auto"/>
        </w:rPr>
        <w:t>3.6 应建立基于数据分析的辅助决策支持体系，为住房公积金管理决策以及日常工作持续改善提供依据。</w:t>
      </w:r>
    </w:p>
    <w:p>
      <w:pPr>
        <w:spacing w:after="0" w:line="275" w:lineRule="exact"/>
        <w:rPr>
          <w:sz w:val="20"/>
          <w:szCs w:val="20"/>
          <w:color w:val="auto"/>
        </w:rPr>
      </w:pPr>
    </w:p>
    <w:p>
      <w:pPr>
        <w:ind w:left="540" w:right="20" w:firstLine="640"/>
        <w:spacing w:after="0" w:line="463" w:lineRule="exact"/>
        <w:rPr>
          <w:sz w:val="20"/>
          <w:szCs w:val="20"/>
          <w:color w:val="auto"/>
        </w:rPr>
      </w:pPr>
      <w:r>
        <w:rPr>
          <w:rFonts w:ascii="仿宋" w:cs="仿宋" w:eastAsia="仿宋" w:hAnsi="仿宋"/>
          <w:sz w:val="32"/>
          <w:szCs w:val="32"/>
          <w:color w:val="auto"/>
        </w:rPr>
        <w:t>3.7 应建立住房公积金信息化安全管理体系，确保住房公积金信息系统安全稳健运行。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4500"/>
        <w:spacing w:after="0" w:line="274" w:lineRule="exact"/>
        <w:rPr>
          <w:sz w:val="20"/>
          <w:szCs w:val="20"/>
          <w:color w:val="auto"/>
        </w:rPr>
      </w:pPr>
      <w:r>
        <w:rPr>
          <w:rFonts w:ascii="宋体" w:cs="宋体" w:eastAsia="宋体" w:hAnsi="宋体"/>
          <w:sz w:val="24"/>
          <w:szCs w:val="24"/>
          <w:color w:val="auto"/>
        </w:rPr>
        <w:t>- 4 -</w:t>
      </w:r>
    </w:p>
    <w:p>
      <w:pPr>
        <w:sectPr>
          <w:pgSz w:w="11900" w:h="16840" w:orient="portrait"/>
          <w:cols w:equalWidth="0" w:num="1">
            <w:col w:w="9040"/>
          </w:cols>
          <w:pgMar w:left="1440" w:top="1440" w:right="1424" w:bottom="467" w:gutter="0" w:footer="0" w:header="0"/>
        </w:sectPr>
      </w:pPr>
    </w:p>
    <w:bookmarkStart w:id="3" w:name="page4"/>
    <w:bookmarkEnd w:id="3"/>
    <w:p>
      <w:pPr>
        <w:spacing w:after="0" w:line="98" w:lineRule="exact"/>
        <w:rPr>
          <w:sz w:val="20"/>
          <w:szCs w:val="20"/>
          <w:color w:val="auto"/>
        </w:rPr>
      </w:pPr>
    </w:p>
    <w:p>
      <w:pPr>
        <w:ind w:left="3800"/>
        <w:spacing w:after="0" w:line="411" w:lineRule="exact"/>
        <w:tabs>
          <w:tab w:leader="none" w:pos="4320" w:val="left"/>
        </w:tabs>
        <w:rPr>
          <w:sz w:val="20"/>
          <w:szCs w:val="20"/>
          <w:color w:val="auto"/>
        </w:rPr>
      </w:pPr>
      <w:r>
        <w:rPr>
          <w:rFonts w:ascii="黑体" w:cs="黑体" w:eastAsia="黑体" w:hAnsi="黑体"/>
          <w:sz w:val="36"/>
          <w:szCs w:val="36"/>
          <w:color w:val="auto"/>
        </w:rPr>
        <w:t>4</w:t>
        <w:tab/>
        <w:t>技术架构</w:t>
      </w:r>
    </w:p>
    <w:p>
      <w:pPr>
        <w:spacing w:after="0" w:line="237"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4.1</w:t>
        <w:tab/>
        <w:t>公积金中心信息系统应采用面向服务的架构（SOA）</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设计，能够通过可配置的服务接口接入组件化的服务模块，支</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持业务的快速发展变化。</w:t>
      </w:r>
    </w:p>
    <w:p>
      <w:pPr>
        <w:spacing w:after="0" w:line="235"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4.2</w:t>
      </w:r>
      <w:r>
        <w:rPr>
          <w:sz w:val="20"/>
          <w:szCs w:val="20"/>
          <w:color w:val="auto"/>
        </w:rPr>
        <w:tab/>
      </w:r>
      <w:r>
        <w:rPr>
          <w:rFonts w:ascii="仿宋" w:cs="仿宋" w:eastAsia="仿宋" w:hAnsi="仿宋"/>
          <w:sz w:val="31"/>
          <w:szCs w:val="31"/>
          <w:color w:val="auto"/>
        </w:rPr>
        <w:t>系统架构应按照国家电子政务总体框架要求进行分</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层设计，满足综合服务要求，实现业务应用逻辑统一，数据统</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一管理。系统架构应符合图 4.2 系统架构图的要求。</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355600</wp:posOffset>
            </wp:positionH>
            <wp:positionV relativeFrom="paragraph">
              <wp:posOffset>273050</wp:posOffset>
            </wp:positionV>
            <wp:extent cx="5387975" cy="22682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387975" cy="2268220"/>
                    </a:xfrm>
                    <a:prstGeom prst="rect">
                      <a:avLst/>
                    </a:prstGeom>
                    <a:noFill/>
                  </pic:spPr>
                </pic:pic>
              </a:graphicData>
            </a:graphic>
          </wp:anchor>
        </w:drawing>
      </w:r>
    </w:p>
    <w:p>
      <w:pPr>
        <w:sectPr>
          <w:pgSz w:w="11900" w:h="16840" w:orient="portrait"/>
          <w:cols w:equalWidth="0" w:num="1">
            <w:col w:w="9200"/>
          </w:cols>
          <w:pgMar w:left="1440" w:top="1440" w:right="1264" w:bottom="467" w:gutter="0" w:footer="0" w:header="0"/>
        </w:sectPr>
      </w:pPr>
    </w:p>
    <w:p>
      <w:pPr>
        <w:spacing w:after="0" w:line="200" w:lineRule="exact"/>
        <w:rPr>
          <w:sz w:val="20"/>
          <w:szCs w:val="20"/>
          <w:color w:val="auto"/>
        </w:rPr>
      </w:pPr>
    </w:p>
    <w:p>
      <w:pPr>
        <w:spacing w:after="0" w:line="366" w:lineRule="exact"/>
        <w:rPr>
          <w:sz w:val="20"/>
          <w:szCs w:val="20"/>
          <w:color w:val="auto"/>
        </w:rPr>
      </w:pPr>
    </w:p>
    <w:tbl>
      <w:tblPr>
        <w:tblLayout w:type="fixed"/>
        <w:tblInd w:w="580" w:type="dxa"/>
        <w:tblCellMar>
          <w:top w:w="0" w:type="dxa"/>
          <w:left w:w="0" w:type="dxa"/>
          <w:bottom w:w="0" w:type="dxa"/>
          <w:right w:w="0" w:type="dxa"/>
        </w:tblCellMar>
      </w:tblPr>
      <w:tr>
        <w:trPr>
          <w:trHeight w:val="138"/>
        </w:trPr>
        <w:tc>
          <w:tcPr>
            <w:tcW w:w="7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500" w:type="dxa"/>
            <w:vAlign w:val="bottom"/>
            <w:gridSpan w:val="3"/>
          </w:tcPr>
          <w:p>
            <w:pPr>
              <w:ind w:left="340"/>
              <w:spacing w:after="0" w:line="137" w:lineRule="exact"/>
              <w:rPr>
                <w:sz w:val="20"/>
                <w:szCs w:val="20"/>
                <w:color w:val="auto"/>
              </w:rPr>
            </w:pPr>
            <w:r>
              <w:rPr>
                <w:rFonts w:ascii="黑体" w:cs="黑体" w:eastAsia="黑体" w:hAnsi="黑体"/>
                <w:sz w:val="12"/>
                <w:szCs w:val="12"/>
                <w:b w:val="1"/>
                <w:bCs w:val="1"/>
                <w:color w:val="auto"/>
              </w:rPr>
              <w:t>缴存单位、缴存个人及其他社会公众</w:t>
            </w: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80" w:type="dxa"/>
            <w:vAlign w:val="bottom"/>
          </w:tcPr>
          <w:p>
            <w:pPr>
              <w:jc w:val="right"/>
              <w:spacing w:after="0" w:line="137" w:lineRule="exact"/>
              <w:rPr>
                <w:sz w:val="20"/>
                <w:szCs w:val="20"/>
                <w:color w:val="auto"/>
              </w:rPr>
            </w:pPr>
            <w:r>
              <w:rPr>
                <w:rFonts w:ascii="黑体" w:cs="黑体" w:eastAsia="黑体" w:hAnsi="黑体"/>
                <w:sz w:val="12"/>
                <w:szCs w:val="12"/>
                <w:b w:val="1"/>
                <w:bCs w:val="1"/>
                <w:color w:val="auto"/>
              </w:rPr>
              <w:t>相关单位</w:t>
            </w:r>
          </w:p>
        </w:tc>
        <w:tc>
          <w:tcPr>
            <w:tcW w:w="540" w:type="dxa"/>
            <w:vAlign w:val="bottom"/>
          </w:tcPr>
          <w:p>
            <w:pPr>
              <w:spacing w:after="0"/>
              <w:rPr>
                <w:sz w:val="12"/>
                <w:szCs w:val="12"/>
                <w:color w:val="auto"/>
              </w:rPr>
            </w:pPr>
          </w:p>
        </w:tc>
        <w:tc>
          <w:tcPr>
            <w:tcW w:w="780" w:type="dxa"/>
            <w:vAlign w:val="bottom"/>
          </w:tcPr>
          <w:p>
            <w:pPr>
              <w:ind w:left="120"/>
              <w:spacing w:after="0" w:line="137" w:lineRule="exact"/>
              <w:rPr>
                <w:sz w:val="20"/>
                <w:szCs w:val="20"/>
                <w:color w:val="auto"/>
              </w:rPr>
            </w:pPr>
            <w:r>
              <w:rPr>
                <w:rFonts w:ascii="黑体" w:cs="黑体" w:eastAsia="黑体" w:hAnsi="黑体"/>
                <w:sz w:val="12"/>
                <w:szCs w:val="12"/>
                <w:b w:val="1"/>
                <w:bCs w:val="1"/>
                <w:color w:val="auto"/>
              </w:rPr>
              <w:t>银行</w:t>
            </w:r>
          </w:p>
        </w:tc>
        <w:tc>
          <w:tcPr>
            <w:tcW w:w="0" w:type="dxa"/>
            <w:vAlign w:val="bottom"/>
          </w:tcPr>
          <w:p>
            <w:pPr>
              <w:spacing w:after="0"/>
              <w:rPr>
                <w:sz w:val="1"/>
                <w:szCs w:val="1"/>
                <w:color w:val="auto"/>
              </w:rPr>
            </w:pPr>
          </w:p>
        </w:tc>
      </w:tr>
      <w:tr>
        <w:trPr>
          <w:trHeight w:val="498"/>
        </w:trPr>
        <w:tc>
          <w:tcPr>
            <w:tcW w:w="720" w:type="dxa"/>
            <w:vAlign w:val="bottom"/>
            <w:vMerge w:val="restart"/>
          </w:tcPr>
          <w:p>
            <w:pPr>
              <w:jc w:val="center"/>
              <w:ind w:right="20"/>
              <w:spacing w:after="0" w:line="137" w:lineRule="exact"/>
              <w:rPr>
                <w:sz w:val="20"/>
                <w:szCs w:val="20"/>
                <w:color w:val="auto"/>
              </w:rPr>
            </w:pPr>
            <w:r>
              <w:rPr>
                <w:rFonts w:ascii="黑体" w:cs="黑体" w:eastAsia="黑体" w:hAnsi="黑体"/>
                <w:sz w:val="12"/>
                <w:szCs w:val="12"/>
                <w:b w:val="1"/>
                <w:bCs w:val="1"/>
                <w:color w:val="auto"/>
                <w:w w:val="99"/>
              </w:rPr>
              <w:t>渠道层</w:t>
            </w: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20" w:type="dxa"/>
            <w:vAlign w:val="bottom"/>
            <w:vMerge w:val="restart"/>
          </w:tcPr>
          <w:p>
            <w:pPr>
              <w:jc w:val="right"/>
              <w:ind w:right="126"/>
              <w:spacing w:after="0" w:line="115" w:lineRule="exact"/>
              <w:rPr>
                <w:sz w:val="20"/>
                <w:szCs w:val="20"/>
                <w:color w:val="auto"/>
              </w:rPr>
            </w:pPr>
            <w:r>
              <w:rPr>
                <w:rFonts w:ascii="黑体" w:cs="黑体" w:eastAsia="黑体" w:hAnsi="黑体"/>
                <w:sz w:val="10"/>
                <w:szCs w:val="10"/>
                <w:b w:val="1"/>
                <w:bCs w:val="1"/>
                <w:color w:val="auto"/>
              </w:rPr>
              <w:t>服务网点柜面</w:t>
            </w:r>
          </w:p>
        </w:tc>
        <w:tc>
          <w:tcPr>
            <w:tcW w:w="1680" w:type="dxa"/>
            <w:vAlign w:val="bottom"/>
            <w:gridSpan w:val="2"/>
            <w:vMerge w:val="restart"/>
          </w:tcPr>
          <w:p>
            <w:pPr>
              <w:ind w:left="880"/>
              <w:spacing w:after="0" w:line="115" w:lineRule="exact"/>
              <w:rPr>
                <w:sz w:val="20"/>
                <w:szCs w:val="20"/>
                <w:color w:val="auto"/>
              </w:rPr>
            </w:pPr>
            <w:r>
              <w:rPr>
                <w:rFonts w:ascii="黑体" w:cs="黑体" w:eastAsia="黑体" w:hAnsi="黑体"/>
                <w:sz w:val="10"/>
                <w:szCs w:val="10"/>
                <w:b w:val="1"/>
                <w:bCs w:val="1"/>
                <w:color w:val="auto"/>
              </w:rPr>
              <w:t>互联网   手机</w:t>
            </w:r>
          </w:p>
        </w:tc>
        <w:tc>
          <w:tcPr>
            <w:tcW w:w="520" w:type="dxa"/>
            <w:vAlign w:val="bottom"/>
            <w:vMerge w:val="restart"/>
          </w:tcPr>
          <w:p>
            <w:pPr>
              <w:ind w:left="100"/>
              <w:spacing w:after="0" w:line="115" w:lineRule="exact"/>
              <w:rPr>
                <w:sz w:val="20"/>
                <w:szCs w:val="20"/>
                <w:color w:val="auto"/>
              </w:rPr>
            </w:pPr>
            <w:r>
              <w:rPr>
                <w:rFonts w:ascii="黑体" w:cs="黑体" w:eastAsia="黑体" w:hAnsi="黑体"/>
                <w:sz w:val="10"/>
                <w:szCs w:val="10"/>
                <w:b w:val="1"/>
                <w:bCs w:val="1"/>
                <w:color w:val="auto"/>
              </w:rPr>
              <w:t>电话</w:t>
            </w:r>
          </w:p>
        </w:tc>
        <w:tc>
          <w:tcPr>
            <w:tcW w:w="280" w:type="dxa"/>
            <w:vAlign w:val="bottom"/>
          </w:tcPr>
          <w:p>
            <w:pPr>
              <w:ind w:left="20"/>
              <w:spacing w:after="0" w:line="115" w:lineRule="exact"/>
              <w:rPr>
                <w:sz w:val="20"/>
                <w:szCs w:val="20"/>
                <w:color w:val="auto"/>
              </w:rPr>
            </w:pPr>
            <w:r>
              <w:rPr>
                <w:rFonts w:ascii="黑体" w:cs="黑体" w:eastAsia="黑体" w:hAnsi="黑体"/>
                <w:sz w:val="10"/>
                <w:szCs w:val="10"/>
                <w:b w:val="1"/>
                <w:bCs w:val="1"/>
                <w:color w:val="auto"/>
              </w:rPr>
              <w:t>自助</w:t>
            </w:r>
          </w:p>
        </w:tc>
        <w:tc>
          <w:tcPr>
            <w:tcW w:w="1080" w:type="dxa"/>
            <w:vAlign w:val="bottom"/>
          </w:tcPr>
          <w:p>
            <w:pPr>
              <w:spacing w:after="0"/>
              <w:rPr>
                <w:sz w:val="24"/>
                <w:szCs w:val="24"/>
                <w:color w:val="auto"/>
              </w:rPr>
            </w:pPr>
          </w:p>
        </w:tc>
        <w:tc>
          <w:tcPr>
            <w:tcW w:w="540" w:type="dxa"/>
            <w:vAlign w:val="bottom"/>
            <w:vMerge w:val="restart"/>
          </w:tcPr>
          <w:p>
            <w:pPr>
              <w:ind w:left="40"/>
              <w:spacing w:after="0" w:line="115" w:lineRule="exact"/>
              <w:rPr>
                <w:sz w:val="20"/>
                <w:szCs w:val="20"/>
                <w:color w:val="auto"/>
              </w:rPr>
            </w:pPr>
            <w:r>
              <w:rPr>
                <w:rFonts w:ascii="黑体" w:cs="黑体" w:eastAsia="黑体" w:hAnsi="黑体"/>
                <w:sz w:val="10"/>
                <w:szCs w:val="10"/>
                <w:b w:val="1"/>
                <w:bCs w:val="1"/>
                <w:color w:val="auto"/>
              </w:rPr>
              <w:t>外联渠道</w:t>
            </w: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72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680" w:type="dxa"/>
            <w:vAlign w:val="bottom"/>
            <w:gridSpan w:val="2"/>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280" w:type="dxa"/>
            <w:vAlign w:val="bottom"/>
            <w:vMerge w:val="restart"/>
          </w:tcPr>
          <w:p>
            <w:pPr>
              <w:ind w:left="20"/>
              <w:spacing w:after="0" w:line="115" w:lineRule="exact"/>
              <w:rPr>
                <w:sz w:val="20"/>
                <w:szCs w:val="20"/>
                <w:color w:val="auto"/>
              </w:rPr>
            </w:pPr>
            <w:r>
              <w:rPr>
                <w:rFonts w:ascii="黑体" w:cs="黑体" w:eastAsia="黑体" w:hAnsi="黑体"/>
                <w:sz w:val="10"/>
                <w:szCs w:val="10"/>
                <w:b w:val="1"/>
                <w:bCs w:val="1"/>
                <w:color w:val="auto"/>
              </w:rPr>
              <w:t>终端</w:t>
            </w:r>
          </w:p>
        </w:tc>
        <w:tc>
          <w:tcPr>
            <w:tcW w:w="108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7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60"/>
        </w:trPr>
        <w:tc>
          <w:tcPr>
            <w:tcW w:w="72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580" w:type="dxa"/>
            <w:vAlign w:val="bottom"/>
          </w:tcPr>
          <w:p>
            <w:pPr>
              <w:spacing w:after="0"/>
              <w:rPr>
                <w:sz w:val="5"/>
                <w:szCs w:val="5"/>
                <w:color w:val="auto"/>
              </w:rPr>
            </w:pPr>
          </w:p>
        </w:tc>
        <w:tc>
          <w:tcPr>
            <w:tcW w:w="52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080" w:type="dxa"/>
            <w:vAlign w:val="bottom"/>
          </w:tcPr>
          <w:p>
            <w:pPr>
              <w:spacing w:after="0"/>
              <w:rPr>
                <w:sz w:val="5"/>
                <w:szCs w:val="5"/>
                <w:color w:val="auto"/>
              </w:rPr>
            </w:pPr>
          </w:p>
        </w:tc>
        <w:tc>
          <w:tcPr>
            <w:tcW w:w="540" w:type="dxa"/>
            <w:vAlign w:val="bottom"/>
          </w:tcPr>
          <w:p>
            <w:pPr>
              <w:spacing w:after="0"/>
              <w:rPr>
                <w:sz w:val="5"/>
                <w:szCs w:val="5"/>
                <w:color w:val="auto"/>
              </w:rPr>
            </w:pPr>
          </w:p>
        </w:tc>
        <w:tc>
          <w:tcPr>
            <w:tcW w:w="7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46"/>
        </w:trPr>
        <w:tc>
          <w:tcPr>
            <w:tcW w:w="720" w:type="dxa"/>
            <w:vAlign w:val="bottom"/>
          </w:tcPr>
          <w:p>
            <w:pPr>
              <w:spacing w:after="0"/>
              <w:rPr>
                <w:sz w:val="24"/>
                <w:szCs w:val="24"/>
                <w:color w:val="auto"/>
              </w:rPr>
            </w:pPr>
          </w:p>
        </w:tc>
        <w:tc>
          <w:tcPr>
            <w:tcW w:w="420" w:type="dxa"/>
            <w:vAlign w:val="bottom"/>
          </w:tcPr>
          <w:p>
            <w:pPr>
              <w:ind w:left="100"/>
              <w:spacing w:after="0" w:line="206" w:lineRule="exact"/>
              <w:rPr>
                <w:sz w:val="20"/>
                <w:szCs w:val="20"/>
                <w:color w:val="auto"/>
              </w:rPr>
            </w:pPr>
            <w:r>
              <w:rPr>
                <w:rFonts w:ascii="黑体" w:cs="黑体" w:eastAsia="黑体" w:hAnsi="黑体"/>
                <w:sz w:val="18"/>
                <w:szCs w:val="18"/>
                <w:b w:val="1"/>
                <w:bCs w:val="1"/>
                <w:color w:val="auto"/>
              </w:rPr>
              <w:t>标</w:t>
            </w:r>
          </w:p>
        </w:tc>
        <w:tc>
          <w:tcPr>
            <w:tcW w:w="9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720" w:type="dxa"/>
            <w:vAlign w:val="bottom"/>
            <w:vMerge w:val="restart"/>
          </w:tcPr>
          <w:p>
            <w:pPr>
              <w:spacing w:after="0" w:line="137" w:lineRule="exact"/>
              <w:rPr>
                <w:sz w:val="20"/>
                <w:szCs w:val="20"/>
                <w:color w:val="auto"/>
              </w:rPr>
            </w:pPr>
            <w:r>
              <w:rPr>
                <w:rFonts w:ascii="黑体" w:cs="黑体" w:eastAsia="黑体" w:hAnsi="黑体"/>
                <w:sz w:val="12"/>
                <w:szCs w:val="12"/>
                <w:b w:val="1"/>
                <w:bCs w:val="1"/>
                <w:color w:val="auto"/>
              </w:rPr>
              <w:t>业务应用层</w:t>
            </w:r>
          </w:p>
        </w:tc>
        <w:tc>
          <w:tcPr>
            <w:tcW w:w="420" w:type="dxa"/>
            <w:vAlign w:val="bottom"/>
            <w:vMerge w:val="restart"/>
          </w:tcPr>
          <w:p>
            <w:pPr>
              <w:ind w:left="100"/>
              <w:spacing w:after="0" w:line="206" w:lineRule="exact"/>
              <w:rPr>
                <w:sz w:val="20"/>
                <w:szCs w:val="20"/>
                <w:color w:val="auto"/>
              </w:rPr>
            </w:pPr>
            <w:r>
              <w:rPr>
                <w:rFonts w:ascii="黑体" w:cs="黑体" w:eastAsia="黑体" w:hAnsi="黑体"/>
                <w:sz w:val="18"/>
                <w:szCs w:val="18"/>
                <w:b w:val="1"/>
                <w:bCs w:val="1"/>
                <w:color w:val="auto"/>
              </w:rPr>
              <w:t>准</w:t>
            </w:r>
          </w:p>
        </w:tc>
        <w:tc>
          <w:tcPr>
            <w:tcW w:w="980" w:type="dxa"/>
            <w:vAlign w:val="bottom"/>
            <w:vMerge w:val="restart"/>
          </w:tcPr>
          <w:p>
            <w:pPr>
              <w:ind w:left="240"/>
              <w:spacing w:after="0" w:line="137" w:lineRule="exact"/>
              <w:rPr>
                <w:sz w:val="20"/>
                <w:szCs w:val="20"/>
                <w:color w:val="auto"/>
              </w:rPr>
            </w:pPr>
            <w:r>
              <w:rPr>
                <w:rFonts w:ascii="黑体" w:cs="黑体" w:eastAsia="黑体" w:hAnsi="黑体"/>
                <w:sz w:val="12"/>
                <w:szCs w:val="12"/>
                <w:b w:val="1"/>
                <w:bCs w:val="1"/>
                <w:color w:val="auto"/>
                <w:w w:val="99"/>
              </w:rPr>
              <w:t>内部管理系统</w:t>
            </w:r>
          </w:p>
        </w:tc>
        <w:tc>
          <w:tcPr>
            <w:tcW w:w="1920" w:type="dxa"/>
            <w:vAlign w:val="bottom"/>
            <w:gridSpan w:val="2"/>
            <w:vMerge w:val="restart"/>
          </w:tcPr>
          <w:p>
            <w:pPr>
              <w:ind w:left="300"/>
              <w:spacing w:after="0" w:line="137" w:lineRule="exact"/>
              <w:rPr>
                <w:sz w:val="20"/>
                <w:szCs w:val="20"/>
                <w:color w:val="auto"/>
              </w:rPr>
            </w:pPr>
            <w:r>
              <w:rPr>
                <w:rFonts w:ascii="黑体" w:cs="黑体" w:eastAsia="黑体" w:hAnsi="黑体"/>
                <w:sz w:val="12"/>
                <w:szCs w:val="12"/>
                <w:b w:val="1"/>
                <w:bCs w:val="1"/>
                <w:color w:val="auto"/>
              </w:rPr>
              <w:t>住房公积金信息系统</w:t>
            </w:r>
          </w:p>
        </w:tc>
        <w:tc>
          <w:tcPr>
            <w:tcW w:w="1380" w:type="dxa"/>
            <w:vAlign w:val="bottom"/>
            <w:gridSpan w:val="3"/>
            <w:vMerge w:val="restart"/>
          </w:tcPr>
          <w:p>
            <w:pPr>
              <w:ind w:left="180"/>
              <w:spacing w:after="0" w:line="137" w:lineRule="exact"/>
              <w:rPr>
                <w:sz w:val="20"/>
                <w:szCs w:val="20"/>
                <w:color w:val="auto"/>
              </w:rPr>
            </w:pPr>
            <w:r>
              <w:rPr>
                <w:rFonts w:ascii="黑体" w:cs="黑体" w:eastAsia="黑体" w:hAnsi="黑体"/>
                <w:sz w:val="12"/>
                <w:szCs w:val="12"/>
                <w:b w:val="1"/>
                <w:bCs w:val="1"/>
                <w:color w:val="auto"/>
              </w:rPr>
              <w:t>综合服务平台系统</w:t>
            </w:r>
          </w:p>
        </w:tc>
        <w:tc>
          <w:tcPr>
            <w:tcW w:w="1080" w:type="dxa"/>
            <w:vAlign w:val="bottom"/>
          </w:tcPr>
          <w:p>
            <w:pPr>
              <w:ind w:left="360"/>
              <w:spacing w:after="0" w:line="137" w:lineRule="exact"/>
              <w:rPr>
                <w:sz w:val="20"/>
                <w:szCs w:val="20"/>
                <w:color w:val="auto"/>
              </w:rPr>
            </w:pPr>
            <w:r>
              <w:rPr>
                <w:rFonts w:ascii="黑体" w:cs="黑体" w:eastAsia="黑体" w:hAnsi="黑体"/>
                <w:sz w:val="12"/>
                <w:szCs w:val="12"/>
                <w:b w:val="1"/>
                <w:bCs w:val="1"/>
                <w:color w:val="auto"/>
              </w:rPr>
              <w:t>外部系统</w:t>
            </w:r>
          </w:p>
        </w:tc>
        <w:tc>
          <w:tcPr>
            <w:tcW w:w="540" w:type="dxa"/>
            <w:vAlign w:val="bottom"/>
          </w:tcPr>
          <w:p>
            <w:pPr>
              <w:ind w:left="80"/>
              <w:spacing w:after="0" w:line="137" w:lineRule="exact"/>
              <w:rPr>
                <w:sz w:val="20"/>
                <w:szCs w:val="20"/>
                <w:color w:val="auto"/>
              </w:rPr>
            </w:pPr>
            <w:r>
              <w:rPr>
                <w:rFonts w:ascii="黑体" w:cs="黑体" w:eastAsia="黑体" w:hAnsi="黑体"/>
                <w:sz w:val="12"/>
                <w:szCs w:val="12"/>
                <w:b w:val="1"/>
                <w:bCs w:val="1"/>
                <w:color w:val="auto"/>
              </w:rPr>
              <w:t>结算</w:t>
            </w:r>
          </w:p>
        </w:tc>
        <w:tc>
          <w:tcPr>
            <w:tcW w:w="780" w:type="dxa"/>
            <w:vAlign w:val="bottom"/>
          </w:tcPr>
          <w:p>
            <w:pPr>
              <w:ind w:left="120"/>
              <w:spacing w:after="0" w:line="137" w:lineRule="exact"/>
              <w:rPr>
                <w:sz w:val="20"/>
                <w:szCs w:val="20"/>
                <w:color w:val="auto"/>
              </w:rPr>
            </w:pPr>
            <w:r>
              <w:rPr>
                <w:rFonts w:ascii="黑体" w:cs="黑体" w:eastAsia="黑体" w:hAnsi="黑体"/>
                <w:sz w:val="12"/>
                <w:szCs w:val="12"/>
                <w:b w:val="1"/>
                <w:bCs w:val="1"/>
                <w:color w:val="auto"/>
              </w:rPr>
              <w:t>异地转移接</w:t>
            </w:r>
          </w:p>
        </w:tc>
        <w:tc>
          <w:tcPr>
            <w:tcW w:w="0" w:type="dxa"/>
            <w:vAlign w:val="bottom"/>
          </w:tcPr>
          <w:p>
            <w:pPr>
              <w:spacing w:after="0"/>
              <w:rPr>
                <w:sz w:val="1"/>
                <w:szCs w:val="1"/>
                <w:color w:val="auto"/>
              </w:rPr>
            </w:pPr>
          </w:p>
        </w:tc>
      </w:tr>
      <w:tr>
        <w:trPr>
          <w:trHeight w:val="72"/>
        </w:trPr>
        <w:tc>
          <w:tcPr>
            <w:tcW w:w="720" w:type="dxa"/>
            <w:vAlign w:val="bottom"/>
            <w:vMerge w:val="continue"/>
          </w:tcPr>
          <w:p>
            <w:pPr>
              <w:spacing w:after="0"/>
              <w:rPr>
                <w:sz w:val="6"/>
                <w:szCs w:val="6"/>
                <w:color w:val="auto"/>
              </w:rPr>
            </w:pPr>
          </w:p>
        </w:tc>
        <w:tc>
          <w:tcPr>
            <w:tcW w:w="420" w:type="dxa"/>
            <w:vAlign w:val="bottom"/>
            <w:vMerge w:val="continue"/>
          </w:tcPr>
          <w:p>
            <w:pPr>
              <w:spacing w:after="0"/>
              <w:rPr>
                <w:sz w:val="6"/>
                <w:szCs w:val="6"/>
                <w:color w:val="auto"/>
              </w:rPr>
            </w:pPr>
          </w:p>
        </w:tc>
        <w:tc>
          <w:tcPr>
            <w:tcW w:w="980" w:type="dxa"/>
            <w:vAlign w:val="bottom"/>
            <w:vMerge w:val="continue"/>
          </w:tcPr>
          <w:p>
            <w:pPr>
              <w:spacing w:after="0"/>
              <w:rPr>
                <w:sz w:val="6"/>
                <w:szCs w:val="6"/>
                <w:color w:val="auto"/>
              </w:rPr>
            </w:pPr>
          </w:p>
        </w:tc>
        <w:tc>
          <w:tcPr>
            <w:tcW w:w="1920" w:type="dxa"/>
            <w:vAlign w:val="bottom"/>
            <w:gridSpan w:val="2"/>
            <w:vMerge w:val="continue"/>
          </w:tcPr>
          <w:p>
            <w:pPr>
              <w:spacing w:after="0"/>
              <w:rPr>
                <w:sz w:val="6"/>
                <w:szCs w:val="6"/>
                <w:color w:val="auto"/>
              </w:rPr>
            </w:pPr>
          </w:p>
        </w:tc>
        <w:tc>
          <w:tcPr>
            <w:tcW w:w="1380" w:type="dxa"/>
            <w:vAlign w:val="bottom"/>
            <w:gridSpan w:val="3"/>
            <w:vMerge w:val="continue"/>
          </w:tcPr>
          <w:p>
            <w:pPr>
              <w:spacing w:after="0"/>
              <w:rPr>
                <w:sz w:val="6"/>
                <w:szCs w:val="6"/>
                <w:color w:val="auto"/>
              </w:rPr>
            </w:pPr>
          </w:p>
        </w:tc>
        <w:tc>
          <w:tcPr>
            <w:tcW w:w="2400" w:type="dxa"/>
            <w:vAlign w:val="bottom"/>
            <w:gridSpan w:val="3"/>
            <w:vMerge w:val="restart"/>
          </w:tcPr>
          <w:p>
            <w:pPr>
              <w:ind w:left="360"/>
              <w:spacing w:after="0" w:line="137" w:lineRule="exact"/>
              <w:rPr>
                <w:sz w:val="20"/>
                <w:szCs w:val="20"/>
                <w:color w:val="auto"/>
              </w:rPr>
            </w:pPr>
            <w:r>
              <w:rPr>
                <w:rFonts w:ascii="黑体" w:cs="黑体" w:eastAsia="黑体" w:hAnsi="黑体"/>
                <w:sz w:val="12"/>
                <w:szCs w:val="12"/>
                <w:b w:val="1"/>
                <w:bCs w:val="1"/>
                <w:color w:val="auto"/>
                <w:w w:val="98"/>
              </w:rPr>
              <w:t>联网接口 应用系统接口 续、贷款系统</w:t>
            </w:r>
          </w:p>
        </w:tc>
        <w:tc>
          <w:tcPr>
            <w:tcW w:w="0" w:type="dxa"/>
            <w:vAlign w:val="bottom"/>
          </w:tcPr>
          <w:p>
            <w:pPr>
              <w:spacing w:after="0"/>
              <w:rPr>
                <w:sz w:val="1"/>
                <w:szCs w:val="1"/>
                <w:color w:val="auto"/>
              </w:rPr>
            </w:pPr>
          </w:p>
        </w:tc>
      </w:tr>
      <w:tr>
        <w:trPr>
          <w:trHeight w:val="72"/>
        </w:trPr>
        <w:tc>
          <w:tcPr>
            <w:tcW w:w="720" w:type="dxa"/>
            <w:vAlign w:val="bottom"/>
          </w:tcPr>
          <w:p>
            <w:pPr>
              <w:spacing w:after="0"/>
              <w:rPr>
                <w:sz w:val="6"/>
                <w:szCs w:val="6"/>
                <w:color w:val="auto"/>
              </w:rPr>
            </w:pPr>
          </w:p>
        </w:tc>
        <w:tc>
          <w:tcPr>
            <w:tcW w:w="420" w:type="dxa"/>
            <w:vAlign w:val="bottom"/>
            <w:vMerge w:val="restart"/>
          </w:tcPr>
          <w:p>
            <w:pPr>
              <w:ind w:left="100"/>
              <w:spacing w:after="0" w:line="196" w:lineRule="exact"/>
              <w:rPr>
                <w:sz w:val="20"/>
                <w:szCs w:val="20"/>
                <w:color w:val="auto"/>
              </w:rPr>
            </w:pPr>
            <w:r>
              <w:rPr>
                <w:rFonts w:ascii="黑体" w:cs="黑体" w:eastAsia="黑体" w:hAnsi="黑体"/>
                <w:sz w:val="18"/>
                <w:szCs w:val="18"/>
                <w:b w:val="1"/>
                <w:bCs w:val="1"/>
                <w:color w:val="auto"/>
              </w:rPr>
              <w:t>规</w:t>
            </w:r>
          </w:p>
        </w:tc>
        <w:tc>
          <w:tcPr>
            <w:tcW w:w="9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580" w:type="dxa"/>
            <w:vAlign w:val="bottom"/>
          </w:tcPr>
          <w:p>
            <w:pPr>
              <w:spacing w:after="0"/>
              <w:rPr>
                <w:sz w:val="6"/>
                <w:szCs w:val="6"/>
                <w:color w:val="auto"/>
              </w:rPr>
            </w:pPr>
          </w:p>
        </w:tc>
        <w:tc>
          <w:tcPr>
            <w:tcW w:w="520" w:type="dxa"/>
            <w:vAlign w:val="bottom"/>
          </w:tcPr>
          <w:p>
            <w:pPr>
              <w:spacing w:after="0"/>
              <w:rPr>
                <w:sz w:val="6"/>
                <w:szCs w:val="6"/>
                <w:color w:val="auto"/>
              </w:rPr>
            </w:pPr>
          </w:p>
        </w:tc>
        <w:tc>
          <w:tcPr>
            <w:tcW w:w="280" w:type="dxa"/>
            <w:vAlign w:val="bottom"/>
          </w:tcPr>
          <w:p>
            <w:pPr>
              <w:spacing w:after="0"/>
              <w:rPr>
                <w:sz w:val="6"/>
                <w:szCs w:val="6"/>
                <w:color w:val="auto"/>
              </w:rPr>
            </w:pPr>
          </w:p>
        </w:tc>
        <w:tc>
          <w:tcPr>
            <w:tcW w:w="24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24"/>
        </w:trPr>
        <w:tc>
          <w:tcPr>
            <w:tcW w:w="720" w:type="dxa"/>
            <w:vAlign w:val="bottom"/>
          </w:tcPr>
          <w:p>
            <w:pPr>
              <w:spacing w:after="0"/>
              <w:rPr>
                <w:sz w:val="10"/>
                <w:szCs w:val="10"/>
                <w:color w:val="auto"/>
              </w:rPr>
            </w:pPr>
          </w:p>
        </w:tc>
        <w:tc>
          <w:tcPr>
            <w:tcW w:w="42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720" w:type="dxa"/>
            <w:vAlign w:val="bottom"/>
          </w:tcPr>
          <w:p>
            <w:pPr>
              <w:spacing w:after="0"/>
              <w:rPr>
                <w:sz w:val="18"/>
                <w:szCs w:val="18"/>
                <w:color w:val="auto"/>
              </w:rPr>
            </w:pPr>
          </w:p>
        </w:tc>
        <w:tc>
          <w:tcPr>
            <w:tcW w:w="420" w:type="dxa"/>
            <w:vAlign w:val="bottom"/>
          </w:tcPr>
          <w:p>
            <w:pPr>
              <w:ind w:left="100"/>
              <w:spacing w:after="0" w:line="206" w:lineRule="exact"/>
              <w:rPr>
                <w:sz w:val="20"/>
                <w:szCs w:val="20"/>
                <w:color w:val="auto"/>
              </w:rPr>
            </w:pPr>
            <w:r>
              <w:rPr>
                <w:rFonts w:ascii="黑体" w:cs="黑体" w:eastAsia="黑体" w:hAnsi="黑体"/>
                <w:sz w:val="18"/>
                <w:szCs w:val="18"/>
                <w:b w:val="1"/>
                <w:bCs w:val="1"/>
                <w:color w:val="auto"/>
              </w:rPr>
              <w:t>范</w:t>
            </w:r>
          </w:p>
        </w:tc>
        <w:tc>
          <w:tcPr>
            <w:tcW w:w="9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720" w:type="dxa"/>
            <w:vAlign w:val="bottom"/>
          </w:tcPr>
          <w:p>
            <w:pPr>
              <w:spacing w:after="0" w:line="137" w:lineRule="exact"/>
              <w:rPr>
                <w:sz w:val="20"/>
                <w:szCs w:val="20"/>
                <w:color w:val="auto"/>
              </w:rPr>
            </w:pPr>
            <w:r>
              <w:rPr>
                <w:rFonts w:ascii="黑体" w:cs="黑体" w:eastAsia="黑体" w:hAnsi="黑体"/>
                <w:sz w:val="12"/>
                <w:szCs w:val="12"/>
                <w:b w:val="1"/>
                <w:bCs w:val="1"/>
                <w:color w:val="auto"/>
              </w:rPr>
              <w:t>应用支撑层</w:t>
            </w:r>
          </w:p>
        </w:tc>
        <w:tc>
          <w:tcPr>
            <w:tcW w:w="420" w:type="dxa"/>
            <w:vAlign w:val="bottom"/>
          </w:tcPr>
          <w:p>
            <w:pPr>
              <w:ind w:left="100"/>
              <w:spacing w:after="0" w:line="206" w:lineRule="exact"/>
              <w:rPr>
                <w:sz w:val="20"/>
                <w:szCs w:val="20"/>
                <w:color w:val="auto"/>
              </w:rPr>
            </w:pPr>
            <w:r>
              <w:rPr>
                <w:rFonts w:ascii="黑体" w:cs="黑体" w:eastAsia="黑体" w:hAnsi="黑体"/>
                <w:sz w:val="18"/>
                <w:szCs w:val="18"/>
                <w:b w:val="1"/>
                <w:bCs w:val="1"/>
                <w:color w:val="auto"/>
              </w:rPr>
              <w:t>体</w:t>
            </w:r>
          </w:p>
        </w:tc>
        <w:tc>
          <w:tcPr>
            <w:tcW w:w="1800" w:type="dxa"/>
            <w:vAlign w:val="bottom"/>
            <w:gridSpan w:val="2"/>
          </w:tcPr>
          <w:p>
            <w:pPr>
              <w:jc w:val="right"/>
              <w:ind w:right="46"/>
              <w:spacing w:after="0" w:line="137" w:lineRule="exact"/>
              <w:rPr>
                <w:sz w:val="20"/>
                <w:szCs w:val="20"/>
                <w:color w:val="auto"/>
              </w:rPr>
            </w:pPr>
            <w:r>
              <w:rPr>
                <w:rFonts w:ascii="黑体" w:cs="黑体" w:eastAsia="黑体" w:hAnsi="黑体"/>
                <w:sz w:val="12"/>
                <w:szCs w:val="12"/>
                <w:b w:val="1"/>
                <w:bCs w:val="1"/>
                <w:color w:val="auto"/>
              </w:rPr>
              <w:t>应用中间件  工作流管理平台</w:t>
            </w:r>
          </w:p>
        </w:tc>
        <w:tc>
          <w:tcPr>
            <w:tcW w:w="1100" w:type="dxa"/>
            <w:vAlign w:val="bottom"/>
          </w:tcPr>
          <w:p>
            <w:pPr>
              <w:ind w:left="80"/>
              <w:spacing w:after="0" w:line="137" w:lineRule="exact"/>
              <w:rPr>
                <w:sz w:val="20"/>
                <w:szCs w:val="20"/>
                <w:color w:val="auto"/>
              </w:rPr>
            </w:pPr>
            <w:r>
              <w:rPr>
                <w:rFonts w:ascii="黑体" w:cs="黑体" w:eastAsia="黑体" w:hAnsi="黑体"/>
                <w:sz w:val="12"/>
                <w:szCs w:val="12"/>
                <w:b w:val="1"/>
                <w:bCs w:val="1"/>
                <w:color w:val="auto"/>
              </w:rPr>
              <w:t>业务服务组件平台</w:t>
            </w:r>
          </w:p>
        </w:tc>
        <w:tc>
          <w:tcPr>
            <w:tcW w:w="1100" w:type="dxa"/>
            <w:vAlign w:val="bottom"/>
            <w:gridSpan w:val="2"/>
          </w:tcPr>
          <w:p>
            <w:pPr>
              <w:ind w:left="340"/>
              <w:spacing w:after="0" w:line="137" w:lineRule="exact"/>
              <w:rPr>
                <w:sz w:val="20"/>
                <w:szCs w:val="20"/>
                <w:color w:val="auto"/>
              </w:rPr>
            </w:pPr>
            <w:r>
              <w:rPr>
                <w:rFonts w:ascii="黑体" w:cs="黑体" w:eastAsia="黑体" w:hAnsi="黑体"/>
                <w:sz w:val="12"/>
                <w:szCs w:val="12"/>
                <w:b w:val="1"/>
                <w:bCs w:val="1"/>
                <w:color w:val="auto"/>
              </w:rPr>
              <w:t>报表工具软件</w:t>
            </w:r>
          </w:p>
        </w:tc>
        <w:tc>
          <w:tcPr>
            <w:tcW w:w="280" w:type="dxa"/>
            <w:vAlign w:val="bottom"/>
          </w:tcPr>
          <w:p>
            <w:pPr>
              <w:spacing w:after="0"/>
              <w:rPr>
                <w:sz w:val="19"/>
                <w:szCs w:val="19"/>
                <w:color w:val="auto"/>
              </w:rPr>
            </w:pPr>
          </w:p>
        </w:tc>
        <w:tc>
          <w:tcPr>
            <w:tcW w:w="1080" w:type="dxa"/>
            <w:vAlign w:val="bottom"/>
          </w:tcPr>
          <w:p>
            <w:pPr>
              <w:jc w:val="right"/>
              <w:spacing w:after="0" w:line="137" w:lineRule="exact"/>
              <w:rPr>
                <w:sz w:val="20"/>
                <w:szCs w:val="20"/>
                <w:color w:val="auto"/>
              </w:rPr>
            </w:pPr>
            <w:r>
              <w:rPr>
                <w:rFonts w:ascii="黑体" w:cs="黑体" w:eastAsia="黑体" w:hAnsi="黑体"/>
                <w:sz w:val="12"/>
                <w:szCs w:val="12"/>
                <w:b w:val="1"/>
                <w:bCs w:val="1"/>
                <w:color w:val="auto"/>
              </w:rPr>
              <w:t>商务智能工具软件</w:t>
            </w:r>
          </w:p>
        </w:tc>
        <w:tc>
          <w:tcPr>
            <w:tcW w:w="1320" w:type="dxa"/>
            <w:vAlign w:val="bottom"/>
            <w:gridSpan w:val="2"/>
          </w:tcPr>
          <w:p>
            <w:pPr>
              <w:ind w:left="180"/>
              <w:spacing w:after="0" w:line="137" w:lineRule="exact"/>
              <w:rPr>
                <w:sz w:val="20"/>
                <w:szCs w:val="20"/>
                <w:color w:val="auto"/>
              </w:rPr>
            </w:pPr>
            <w:r>
              <w:rPr>
                <w:rFonts w:ascii="黑体" w:cs="黑体" w:eastAsia="黑体" w:hAnsi="黑体"/>
                <w:sz w:val="12"/>
                <w:szCs w:val="12"/>
                <w:b w:val="1"/>
                <w:bCs w:val="1"/>
                <w:color w:val="auto"/>
              </w:rPr>
              <w:t>统一对外接入平台</w:t>
            </w:r>
          </w:p>
        </w:tc>
        <w:tc>
          <w:tcPr>
            <w:tcW w:w="0" w:type="dxa"/>
            <w:vAlign w:val="bottom"/>
          </w:tcPr>
          <w:p>
            <w:pPr>
              <w:spacing w:after="0"/>
              <w:rPr>
                <w:sz w:val="1"/>
                <w:szCs w:val="1"/>
                <w:color w:val="auto"/>
              </w:rPr>
            </w:pPr>
          </w:p>
        </w:tc>
      </w:tr>
      <w:tr>
        <w:trPr>
          <w:trHeight w:val="212"/>
        </w:trPr>
        <w:tc>
          <w:tcPr>
            <w:tcW w:w="720" w:type="dxa"/>
            <w:vAlign w:val="bottom"/>
          </w:tcPr>
          <w:p>
            <w:pPr>
              <w:spacing w:after="0"/>
              <w:rPr>
                <w:sz w:val="18"/>
                <w:szCs w:val="18"/>
                <w:color w:val="auto"/>
              </w:rPr>
            </w:pPr>
          </w:p>
        </w:tc>
        <w:tc>
          <w:tcPr>
            <w:tcW w:w="420" w:type="dxa"/>
            <w:vAlign w:val="bottom"/>
          </w:tcPr>
          <w:p>
            <w:pPr>
              <w:ind w:left="100"/>
              <w:spacing w:after="0" w:line="206" w:lineRule="exact"/>
              <w:rPr>
                <w:sz w:val="20"/>
                <w:szCs w:val="20"/>
                <w:color w:val="auto"/>
              </w:rPr>
            </w:pPr>
            <w:r>
              <w:rPr>
                <w:rFonts w:ascii="黑体" w:cs="黑体" w:eastAsia="黑体" w:hAnsi="黑体"/>
                <w:sz w:val="18"/>
                <w:szCs w:val="18"/>
                <w:b w:val="1"/>
                <w:bCs w:val="1"/>
                <w:color w:val="auto"/>
              </w:rPr>
              <w:t>系</w:t>
            </w:r>
          </w:p>
        </w:tc>
        <w:tc>
          <w:tcPr>
            <w:tcW w:w="9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79"/>
        </w:trPr>
        <w:tc>
          <w:tcPr>
            <w:tcW w:w="720" w:type="dxa"/>
            <w:vAlign w:val="bottom"/>
          </w:tcPr>
          <w:p>
            <w:pPr>
              <w:spacing w:after="0" w:line="137" w:lineRule="exact"/>
              <w:rPr>
                <w:sz w:val="20"/>
                <w:szCs w:val="20"/>
                <w:color w:val="auto"/>
              </w:rPr>
            </w:pPr>
            <w:r>
              <w:rPr>
                <w:rFonts w:ascii="黑体" w:cs="黑体" w:eastAsia="黑体" w:hAnsi="黑体"/>
                <w:sz w:val="12"/>
                <w:szCs w:val="12"/>
                <w:b w:val="1"/>
                <w:bCs w:val="1"/>
                <w:color w:val="auto"/>
              </w:rPr>
              <w:t>数据资源层</w:t>
            </w:r>
          </w:p>
        </w:tc>
        <w:tc>
          <w:tcPr>
            <w:tcW w:w="420" w:type="dxa"/>
            <w:vAlign w:val="bottom"/>
          </w:tcPr>
          <w:p>
            <w:pPr>
              <w:spacing w:after="0"/>
              <w:rPr>
                <w:sz w:val="24"/>
                <w:szCs w:val="24"/>
                <w:color w:val="auto"/>
              </w:rPr>
            </w:pPr>
          </w:p>
        </w:tc>
        <w:tc>
          <w:tcPr>
            <w:tcW w:w="980" w:type="dxa"/>
            <w:vAlign w:val="bottom"/>
            <w:vMerge w:val="restart"/>
          </w:tcPr>
          <w:p>
            <w:pPr>
              <w:jc w:val="center"/>
              <w:spacing w:after="0" w:line="115" w:lineRule="exact"/>
              <w:rPr>
                <w:sz w:val="20"/>
                <w:szCs w:val="20"/>
                <w:color w:val="auto"/>
              </w:rPr>
            </w:pPr>
            <w:r>
              <w:rPr>
                <w:rFonts w:ascii="黑体" w:cs="黑体" w:eastAsia="黑体" w:hAnsi="黑体"/>
                <w:sz w:val="10"/>
                <w:szCs w:val="10"/>
                <w:b w:val="1"/>
                <w:bCs w:val="1"/>
                <w:color w:val="auto"/>
                <w:w w:val="89"/>
              </w:rPr>
              <w:t>管理</w:t>
            </w:r>
          </w:p>
        </w:tc>
        <w:tc>
          <w:tcPr>
            <w:tcW w:w="820" w:type="dxa"/>
            <w:vAlign w:val="bottom"/>
            <w:vMerge w:val="restart"/>
          </w:tcPr>
          <w:p>
            <w:pPr>
              <w:jc w:val="right"/>
              <w:ind w:right="66"/>
              <w:spacing w:after="0" w:line="115" w:lineRule="exact"/>
              <w:rPr>
                <w:sz w:val="20"/>
                <w:szCs w:val="20"/>
                <w:color w:val="auto"/>
              </w:rPr>
            </w:pPr>
            <w:r>
              <w:rPr>
                <w:rFonts w:ascii="黑体" w:cs="黑体" w:eastAsia="黑体" w:hAnsi="黑体"/>
                <w:sz w:val="10"/>
                <w:szCs w:val="10"/>
                <w:b w:val="1"/>
                <w:bCs w:val="1"/>
                <w:color w:val="auto"/>
              </w:rPr>
              <w:t>生产交易</w:t>
            </w:r>
          </w:p>
        </w:tc>
        <w:tc>
          <w:tcPr>
            <w:tcW w:w="1100" w:type="dxa"/>
            <w:vAlign w:val="bottom"/>
            <w:vMerge w:val="restart"/>
          </w:tcPr>
          <w:p>
            <w:pPr>
              <w:jc w:val="center"/>
              <w:ind w:right="248"/>
              <w:spacing w:after="0" w:line="115" w:lineRule="exact"/>
              <w:rPr>
                <w:sz w:val="20"/>
                <w:szCs w:val="20"/>
                <w:color w:val="auto"/>
              </w:rPr>
            </w:pPr>
            <w:r>
              <w:rPr>
                <w:rFonts w:ascii="黑体" w:cs="黑体" w:eastAsia="黑体" w:hAnsi="黑体"/>
                <w:sz w:val="10"/>
                <w:szCs w:val="10"/>
                <w:b w:val="1"/>
                <w:bCs w:val="1"/>
                <w:color w:val="auto"/>
                <w:w w:val="99"/>
              </w:rPr>
              <w:t>历史交易</w:t>
            </w:r>
          </w:p>
        </w:tc>
        <w:tc>
          <w:tcPr>
            <w:tcW w:w="580" w:type="dxa"/>
            <w:vAlign w:val="bottom"/>
            <w:vMerge w:val="restart"/>
          </w:tcPr>
          <w:p>
            <w:pPr>
              <w:jc w:val="center"/>
              <w:ind w:right="6"/>
              <w:spacing w:after="0" w:line="115" w:lineRule="exact"/>
              <w:rPr>
                <w:sz w:val="20"/>
                <w:szCs w:val="20"/>
                <w:color w:val="auto"/>
              </w:rPr>
            </w:pPr>
            <w:r>
              <w:rPr>
                <w:rFonts w:ascii="黑体" w:cs="黑体" w:eastAsia="黑体" w:hAnsi="黑体"/>
                <w:sz w:val="10"/>
                <w:szCs w:val="10"/>
                <w:b w:val="1"/>
                <w:bCs w:val="1"/>
                <w:color w:val="auto"/>
                <w:w w:val="99"/>
              </w:rPr>
              <w:t>客户服务</w:t>
            </w:r>
          </w:p>
        </w:tc>
        <w:tc>
          <w:tcPr>
            <w:tcW w:w="520" w:type="dxa"/>
            <w:vAlign w:val="bottom"/>
            <w:vMerge w:val="restart"/>
          </w:tcPr>
          <w:p>
            <w:pPr>
              <w:jc w:val="center"/>
              <w:ind w:left="231"/>
              <w:spacing w:after="0" w:line="115" w:lineRule="exact"/>
              <w:rPr>
                <w:sz w:val="20"/>
                <w:szCs w:val="20"/>
                <w:color w:val="auto"/>
              </w:rPr>
            </w:pPr>
            <w:r>
              <w:rPr>
                <w:rFonts w:ascii="黑体" w:cs="黑体" w:eastAsia="黑体" w:hAnsi="黑体"/>
                <w:sz w:val="10"/>
                <w:szCs w:val="10"/>
                <w:b w:val="1"/>
                <w:bCs w:val="1"/>
                <w:color w:val="auto"/>
                <w:w w:val="99"/>
              </w:rPr>
              <w:t>查询</w:t>
            </w: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0"/>
        </w:trPr>
        <w:tc>
          <w:tcPr>
            <w:tcW w:w="720" w:type="dxa"/>
            <w:vAlign w:val="bottom"/>
          </w:tcPr>
          <w:p>
            <w:pPr>
              <w:spacing w:after="0"/>
              <w:rPr>
                <w:sz w:val="7"/>
                <w:szCs w:val="7"/>
                <w:color w:val="auto"/>
              </w:rPr>
            </w:pPr>
          </w:p>
        </w:tc>
        <w:tc>
          <w:tcPr>
            <w:tcW w:w="420" w:type="dxa"/>
            <w:vAlign w:val="bottom"/>
          </w:tcPr>
          <w:p>
            <w:pPr>
              <w:spacing w:after="0"/>
              <w:rPr>
                <w:sz w:val="7"/>
                <w:szCs w:val="7"/>
                <w:color w:val="auto"/>
              </w:rPr>
            </w:pPr>
          </w:p>
        </w:tc>
        <w:tc>
          <w:tcPr>
            <w:tcW w:w="98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1100" w:type="dxa"/>
            <w:vAlign w:val="bottom"/>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52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1080" w:type="dxa"/>
            <w:vAlign w:val="bottom"/>
            <w:vMerge w:val="restart"/>
          </w:tcPr>
          <w:p>
            <w:pPr>
              <w:jc w:val="right"/>
              <w:ind w:right="342"/>
              <w:spacing w:after="0" w:line="115" w:lineRule="exact"/>
              <w:rPr>
                <w:sz w:val="20"/>
                <w:szCs w:val="20"/>
                <w:color w:val="auto"/>
              </w:rPr>
            </w:pPr>
            <w:r>
              <w:rPr>
                <w:rFonts w:ascii="黑体" w:cs="黑体" w:eastAsia="黑体" w:hAnsi="黑体"/>
                <w:sz w:val="10"/>
                <w:szCs w:val="10"/>
                <w:b w:val="1"/>
                <w:bCs w:val="1"/>
                <w:color w:val="auto"/>
              </w:rPr>
              <w:t>数据仓库</w:t>
            </w:r>
          </w:p>
        </w:tc>
        <w:tc>
          <w:tcPr>
            <w:tcW w:w="540" w:type="dxa"/>
            <w:vAlign w:val="bottom"/>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9"/>
        </w:trPr>
        <w:tc>
          <w:tcPr>
            <w:tcW w:w="720" w:type="dxa"/>
            <w:vAlign w:val="bottom"/>
          </w:tcPr>
          <w:p>
            <w:pPr>
              <w:spacing w:after="0"/>
              <w:rPr>
                <w:sz w:val="6"/>
                <w:szCs w:val="6"/>
                <w:color w:val="auto"/>
              </w:rPr>
            </w:pPr>
          </w:p>
        </w:tc>
        <w:tc>
          <w:tcPr>
            <w:tcW w:w="420" w:type="dxa"/>
            <w:vAlign w:val="bottom"/>
          </w:tcPr>
          <w:p>
            <w:pPr>
              <w:spacing w:after="0"/>
              <w:rPr>
                <w:sz w:val="6"/>
                <w:szCs w:val="6"/>
                <w:color w:val="auto"/>
              </w:rPr>
            </w:pPr>
          </w:p>
        </w:tc>
        <w:tc>
          <w:tcPr>
            <w:tcW w:w="980" w:type="dxa"/>
            <w:vAlign w:val="bottom"/>
            <w:vMerge w:val="restart"/>
          </w:tcPr>
          <w:p>
            <w:pPr>
              <w:jc w:val="center"/>
              <w:spacing w:after="0" w:line="115" w:lineRule="exact"/>
              <w:rPr>
                <w:sz w:val="20"/>
                <w:szCs w:val="20"/>
                <w:color w:val="auto"/>
              </w:rPr>
            </w:pPr>
            <w:r>
              <w:rPr>
                <w:rFonts w:ascii="黑体" w:cs="黑体" w:eastAsia="黑体" w:hAnsi="黑体"/>
                <w:sz w:val="10"/>
                <w:szCs w:val="10"/>
                <w:b w:val="1"/>
                <w:bCs w:val="1"/>
                <w:color w:val="auto"/>
                <w:w w:val="99"/>
              </w:rPr>
              <w:t>数据库</w:t>
            </w:r>
          </w:p>
        </w:tc>
        <w:tc>
          <w:tcPr>
            <w:tcW w:w="820" w:type="dxa"/>
            <w:vAlign w:val="bottom"/>
            <w:vMerge w:val="restart"/>
          </w:tcPr>
          <w:p>
            <w:pPr>
              <w:jc w:val="right"/>
              <w:ind w:right="126"/>
              <w:spacing w:after="0" w:line="115" w:lineRule="exact"/>
              <w:rPr>
                <w:sz w:val="20"/>
                <w:szCs w:val="20"/>
                <w:color w:val="auto"/>
              </w:rPr>
            </w:pPr>
            <w:r>
              <w:rPr>
                <w:rFonts w:ascii="黑体" w:cs="黑体" w:eastAsia="黑体" w:hAnsi="黑体"/>
                <w:sz w:val="10"/>
                <w:szCs w:val="10"/>
                <w:b w:val="1"/>
                <w:bCs w:val="1"/>
                <w:color w:val="auto"/>
              </w:rPr>
              <w:t>数据库</w:t>
            </w:r>
          </w:p>
        </w:tc>
        <w:tc>
          <w:tcPr>
            <w:tcW w:w="1100" w:type="dxa"/>
            <w:vAlign w:val="bottom"/>
            <w:vMerge w:val="restart"/>
          </w:tcPr>
          <w:p>
            <w:pPr>
              <w:jc w:val="center"/>
              <w:ind w:right="228"/>
              <w:spacing w:after="0" w:line="115" w:lineRule="exact"/>
              <w:rPr>
                <w:sz w:val="20"/>
                <w:szCs w:val="20"/>
                <w:color w:val="auto"/>
              </w:rPr>
            </w:pPr>
            <w:r>
              <w:rPr>
                <w:rFonts w:ascii="黑体" w:cs="黑体" w:eastAsia="黑体" w:hAnsi="黑体"/>
                <w:sz w:val="10"/>
                <w:szCs w:val="10"/>
                <w:b w:val="1"/>
                <w:bCs w:val="1"/>
                <w:color w:val="auto"/>
                <w:w w:val="99"/>
              </w:rPr>
              <w:t>数据库</w:t>
            </w:r>
          </w:p>
        </w:tc>
        <w:tc>
          <w:tcPr>
            <w:tcW w:w="580" w:type="dxa"/>
            <w:vAlign w:val="bottom"/>
            <w:vMerge w:val="restart"/>
          </w:tcPr>
          <w:p>
            <w:pPr>
              <w:jc w:val="center"/>
              <w:spacing w:after="0" w:line="115" w:lineRule="exact"/>
              <w:rPr>
                <w:sz w:val="20"/>
                <w:szCs w:val="20"/>
                <w:color w:val="auto"/>
              </w:rPr>
            </w:pPr>
            <w:r>
              <w:rPr>
                <w:rFonts w:ascii="黑体" w:cs="黑体" w:eastAsia="黑体" w:hAnsi="黑体"/>
                <w:sz w:val="10"/>
                <w:szCs w:val="10"/>
                <w:b w:val="1"/>
                <w:bCs w:val="1"/>
                <w:color w:val="auto"/>
                <w:w w:val="99"/>
              </w:rPr>
              <w:t>数据库</w:t>
            </w:r>
          </w:p>
        </w:tc>
        <w:tc>
          <w:tcPr>
            <w:tcW w:w="800" w:type="dxa"/>
            <w:vAlign w:val="bottom"/>
            <w:gridSpan w:val="2"/>
            <w:vMerge w:val="restart"/>
          </w:tcPr>
          <w:p>
            <w:pPr>
              <w:jc w:val="center"/>
              <w:spacing w:after="0" w:line="115" w:lineRule="exact"/>
              <w:rPr>
                <w:sz w:val="20"/>
                <w:szCs w:val="20"/>
                <w:color w:val="auto"/>
              </w:rPr>
            </w:pPr>
            <w:r>
              <w:rPr>
                <w:rFonts w:ascii="黑体" w:cs="黑体" w:eastAsia="黑体" w:hAnsi="黑体"/>
                <w:sz w:val="10"/>
                <w:szCs w:val="10"/>
                <w:b w:val="1"/>
                <w:bCs w:val="1"/>
                <w:color w:val="auto"/>
                <w:w w:val="99"/>
              </w:rPr>
              <w:t>数据库</w:t>
            </w:r>
          </w:p>
        </w:tc>
        <w:tc>
          <w:tcPr>
            <w:tcW w:w="1080" w:type="dxa"/>
            <w:vAlign w:val="bottom"/>
            <w:vMerge w:val="continue"/>
          </w:tcPr>
          <w:p>
            <w:pPr>
              <w:spacing w:after="0"/>
              <w:rPr>
                <w:sz w:val="6"/>
                <w:szCs w:val="6"/>
                <w:color w:val="auto"/>
              </w:rPr>
            </w:pPr>
          </w:p>
        </w:tc>
        <w:tc>
          <w:tcPr>
            <w:tcW w:w="540" w:type="dxa"/>
            <w:vAlign w:val="bottom"/>
          </w:tcPr>
          <w:p>
            <w:pPr>
              <w:spacing w:after="0"/>
              <w:rPr>
                <w:sz w:val="6"/>
                <w:szCs w:val="6"/>
                <w:color w:val="auto"/>
              </w:rPr>
            </w:pPr>
          </w:p>
        </w:tc>
        <w:tc>
          <w:tcPr>
            <w:tcW w:w="7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2"/>
        </w:trPr>
        <w:tc>
          <w:tcPr>
            <w:tcW w:w="720" w:type="dxa"/>
            <w:vAlign w:val="bottom"/>
          </w:tcPr>
          <w:p>
            <w:pPr>
              <w:spacing w:after="0"/>
              <w:rPr>
                <w:sz w:val="3"/>
                <w:szCs w:val="3"/>
                <w:color w:val="auto"/>
              </w:rPr>
            </w:pPr>
          </w:p>
        </w:tc>
        <w:tc>
          <w:tcPr>
            <w:tcW w:w="420" w:type="dxa"/>
            <w:vAlign w:val="bottom"/>
          </w:tcPr>
          <w:p>
            <w:pPr>
              <w:spacing w:after="0"/>
              <w:rPr>
                <w:sz w:val="3"/>
                <w:szCs w:val="3"/>
                <w:color w:val="auto"/>
              </w:rPr>
            </w:pPr>
          </w:p>
        </w:tc>
        <w:tc>
          <w:tcPr>
            <w:tcW w:w="980" w:type="dxa"/>
            <w:vAlign w:val="bottom"/>
            <w:vMerge w:val="continue"/>
          </w:tcPr>
          <w:p>
            <w:pPr>
              <w:spacing w:after="0"/>
              <w:rPr>
                <w:sz w:val="3"/>
                <w:szCs w:val="3"/>
                <w:color w:val="auto"/>
              </w:rPr>
            </w:pPr>
          </w:p>
        </w:tc>
        <w:tc>
          <w:tcPr>
            <w:tcW w:w="82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580" w:type="dxa"/>
            <w:vAlign w:val="bottom"/>
            <w:vMerge w:val="continue"/>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108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41"/>
        </w:trPr>
        <w:tc>
          <w:tcPr>
            <w:tcW w:w="720" w:type="dxa"/>
            <w:vAlign w:val="bottom"/>
          </w:tcPr>
          <w:p>
            <w:pPr>
              <w:jc w:val="center"/>
              <w:ind w:right="20"/>
              <w:spacing w:after="0" w:line="137" w:lineRule="exact"/>
              <w:rPr>
                <w:sz w:val="20"/>
                <w:szCs w:val="20"/>
                <w:color w:val="auto"/>
              </w:rPr>
            </w:pPr>
            <w:r>
              <w:rPr>
                <w:rFonts w:ascii="黑体" w:cs="黑体" w:eastAsia="黑体" w:hAnsi="黑体"/>
                <w:sz w:val="12"/>
                <w:szCs w:val="12"/>
                <w:b w:val="1"/>
                <w:bCs w:val="1"/>
                <w:color w:val="auto"/>
                <w:w w:val="99"/>
              </w:rPr>
              <w:t>基础设施层</w:t>
            </w: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380" w:type="dxa"/>
            <w:vAlign w:val="bottom"/>
            <w:gridSpan w:val="6"/>
          </w:tcPr>
          <w:p>
            <w:pPr>
              <w:jc w:val="right"/>
              <w:ind w:right="42"/>
              <w:spacing w:after="0" w:line="137" w:lineRule="exact"/>
              <w:rPr>
                <w:sz w:val="20"/>
                <w:szCs w:val="20"/>
                <w:color w:val="auto"/>
              </w:rPr>
            </w:pPr>
            <w:r>
              <w:rPr>
                <w:rFonts w:ascii="黑体" w:cs="黑体" w:eastAsia="黑体" w:hAnsi="黑体"/>
                <w:sz w:val="12"/>
                <w:szCs w:val="12"/>
                <w:b w:val="1"/>
                <w:bCs w:val="1"/>
                <w:color w:val="auto"/>
              </w:rPr>
              <w:t>主机系统、存储系统、网络系统、安全系统、系统软件等基础运行环境</w:t>
            </w:r>
          </w:p>
        </w:tc>
        <w:tc>
          <w:tcPr>
            <w:tcW w:w="5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spacing w:after="0" w:line="194" w:lineRule="exact"/>
        <w:rPr>
          <w:sz w:val="20"/>
          <w:szCs w:val="20"/>
          <w:color w:val="auto"/>
        </w:rPr>
      </w:pPr>
      <w:r>
        <w:rPr>
          <w:rFonts w:ascii="黑体" w:cs="黑体" w:eastAsia="黑体" w:hAnsi="黑体"/>
          <w:sz w:val="17"/>
          <w:szCs w:val="17"/>
          <w:b w:val="1"/>
          <w:bCs w:val="1"/>
          <w:color w:val="auto"/>
        </w:rPr>
        <w:t>安</w:t>
      </w:r>
    </w:p>
    <w:p>
      <w:pPr>
        <w:spacing w:after="0" w:line="22" w:lineRule="exact"/>
        <w:rPr>
          <w:sz w:val="20"/>
          <w:szCs w:val="20"/>
          <w:color w:val="auto"/>
        </w:rPr>
      </w:pPr>
    </w:p>
    <w:p>
      <w:pPr>
        <w:spacing w:after="0" w:line="194" w:lineRule="exact"/>
        <w:rPr>
          <w:sz w:val="20"/>
          <w:szCs w:val="20"/>
          <w:color w:val="auto"/>
        </w:rPr>
      </w:pPr>
      <w:r>
        <w:rPr>
          <w:rFonts w:ascii="黑体" w:cs="黑体" w:eastAsia="黑体" w:hAnsi="黑体"/>
          <w:sz w:val="17"/>
          <w:szCs w:val="17"/>
          <w:b w:val="1"/>
          <w:bCs w:val="1"/>
          <w:color w:val="auto"/>
        </w:rPr>
        <w:t>全</w:t>
      </w:r>
    </w:p>
    <w:p>
      <w:pPr>
        <w:spacing w:after="0" w:line="23" w:lineRule="exact"/>
        <w:rPr>
          <w:sz w:val="20"/>
          <w:szCs w:val="20"/>
          <w:color w:val="auto"/>
        </w:rPr>
      </w:pPr>
    </w:p>
    <w:p>
      <w:pPr>
        <w:spacing w:after="0" w:line="194" w:lineRule="exact"/>
        <w:rPr>
          <w:sz w:val="20"/>
          <w:szCs w:val="20"/>
          <w:color w:val="auto"/>
        </w:rPr>
      </w:pPr>
      <w:r>
        <w:rPr>
          <w:rFonts w:ascii="黑体" w:cs="黑体" w:eastAsia="黑体" w:hAnsi="黑体"/>
          <w:sz w:val="17"/>
          <w:szCs w:val="17"/>
          <w:b w:val="1"/>
          <w:bCs w:val="1"/>
          <w:color w:val="auto"/>
        </w:rPr>
        <w:t>保</w:t>
      </w:r>
    </w:p>
    <w:p>
      <w:pPr>
        <w:spacing w:after="0" w:line="22" w:lineRule="exact"/>
        <w:rPr>
          <w:sz w:val="20"/>
          <w:szCs w:val="20"/>
          <w:color w:val="auto"/>
        </w:rPr>
      </w:pPr>
    </w:p>
    <w:p>
      <w:pPr>
        <w:spacing w:after="0" w:line="194" w:lineRule="exact"/>
        <w:rPr>
          <w:sz w:val="20"/>
          <w:szCs w:val="20"/>
          <w:color w:val="auto"/>
        </w:rPr>
      </w:pPr>
      <w:r>
        <w:rPr>
          <w:rFonts w:ascii="黑体" w:cs="黑体" w:eastAsia="黑体" w:hAnsi="黑体"/>
          <w:sz w:val="17"/>
          <w:szCs w:val="17"/>
          <w:b w:val="1"/>
          <w:bCs w:val="1"/>
          <w:color w:val="auto"/>
        </w:rPr>
        <w:t>障</w:t>
      </w:r>
    </w:p>
    <w:p>
      <w:pPr>
        <w:spacing w:after="0" w:line="22" w:lineRule="exact"/>
        <w:rPr>
          <w:sz w:val="20"/>
          <w:szCs w:val="20"/>
          <w:color w:val="auto"/>
        </w:rPr>
      </w:pPr>
    </w:p>
    <w:p>
      <w:pPr>
        <w:spacing w:after="0" w:line="194" w:lineRule="exact"/>
        <w:rPr>
          <w:sz w:val="20"/>
          <w:szCs w:val="20"/>
          <w:color w:val="auto"/>
        </w:rPr>
      </w:pPr>
      <w:r>
        <w:rPr>
          <w:rFonts w:ascii="黑体" w:cs="黑体" w:eastAsia="黑体" w:hAnsi="黑体"/>
          <w:sz w:val="17"/>
          <w:szCs w:val="17"/>
          <w:b w:val="1"/>
          <w:bCs w:val="1"/>
          <w:color w:val="auto"/>
        </w:rPr>
        <w:t>体</w:t>
      </w:r>
    </w:p>
    <w:p>
      <w:pPr>
        <w:spacing w:after="0" w:line="23" w:lineRule="exact"/>
        <w:rPr>
          <w:sz w:val="20"/>
          <w:szCs w:val="20"/>
          <w:color w:val="auto"/>
        </w:rPr>
      </w:pPr>
    </w:p>
    <w:p>
      <w:pPr>
        <w:spacing w:after="0" w:line="194" w:lineRule="exact"/>
        <w:rPr>
          <w:sz w:val="20"/>
          <w:szCs w:val="20"/>
          <w:color w:val="auto"/>
        </w:rPr>
      </w:pPr>
      <w:r>
        <w:rPr>
          <w:rFonts w:ascii="黑体" w:cs="黑体" w:eastAsia="黑体" w:hAnsi="黑体"/>
          <w:sz w:val="17"/>
          <w:szCs w:val="17"/>
          <w:b w:val="1"/>
          <w:bCs w:val="1"/>
          <w:color w:val="auto"/>
        </w:rPr>
        <w:t>系</w:t>
      </w:r>
    </w:p>
    <w:p>
      <w:pPr>
        <w:spacing w:after="0" w:line="1231" w:lineRule="exact"/>
        <w:rPr>
          <w:sz w:val="20"/>
          <w:szCs w:val="20"/>
          <w:color w:val="auto"/>
        </w:rPr>
      </w:pPr>
    </w:p>
    <w:p>
      <w:pPr>
        <w:sectPr>
          <w:pgSz w:w="11900" w:h="16840" w:orient="portrait"/>
          <w:cols w:equalWidth="0" w:num="2">
            <w:col w:w="8400" w:space="280"/>
            <w:col w:w="520"/>
          </w:cols>
          <w:pgMar w:left="1440" w:top="1440" w:right="1264" w:bottom="467" w:gutter="0" w:footer="0" w:header="0"/>
          <w:type w:val="continuous"/>
        </w:sectPr>
      </w:pPr>
    </w:p>
    <w:p>
      <w:pPr>
        <w:spacing w:after="0" w:line="147" w:lineRule="exact"/>
        <w:rPr>
          <w:sz w:val="20"/>
          <w:szCs w:val="20"/>
          <w:color w:val="auto"/>
        </w:rPr>
      </w:pPr>
    </w:p>
    <w:p>
      <w:pPr>
        <w:ind w:left="4000"/>
        <w:spacing w:after="0" w:line="320" w:lineRule="exact"/>
        <w:rPr>
          <w:sz w:val="20"/>
          <w:szCs w:val="20"/>
          <w:color w:val="auto"/>
        </w:rPr>
      </w:pPr>
      <w:r>
        <w:rPr>
          <w:rFonts w:ascii="仿宋" w:cs="仿宋" w:eastAsia="仿宋" w:hAnsi="仿宋"/>
          <w:sz w:val="28"/>
          <w:szCs w:val="28"/>
          <w:color w:val="auto"/>
        </w:rPr>
        <w:t>图 4.2 系统架构图</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1180"/>
        <w:spacing w:after="0" w:line="366" w:lineRule="exact"/>
        <w:tabs>
          <w:tab w:leader="none" w:pos="2280" w:val="left"/>
        </w:tabs>
        <w:rPr>
          <w:sz w:val="20"/>
          <w:szCs w:val="20"/>
          <w:color w:val="auto"/>
        </w:rPr>
      </w:pPr>
      <w:r>
        <w:rPr>
          <w:rFonts w:ascii="仿宋" w:cs="仿宋" w:eastAsia="仿宋" w:hAnsi="仿宋"/>
          <w:sz w:val="32"/>
          <w:szCs w:val="32"/>
          <w:color w:val="auto"/>
        </w:rPr>
        <w:t>4.2.1</w:t>
      </w:r>
      <w:r>
        <w:rPr>
          <w:sz w:val="20"/>
          <w:szCs w:val="20"/>
          <w:color w:val="auto"/>
        </w:rPr>
        <w:tab/>
      </w:r>
      <w:r>
        <w:rPr>
          <w:rFonts w:ascii="仿宋" w:cs="仿宋" w:eastAsia="仿宋" w:hAnsi="仿宋"/>
          <w:sz w:val="31"/>
          <w:szCs w:val="31"/>
          <w:color w:val="auto"/>
        </w:rPr>
        <w:t>系统设计层次应划分为渠道层、业务应用层、应</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用支撑层、数据资源层、基础设施层五个层次，保障系统的充</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分可扩展性和易维护性。</w:t>
      </w:r>
    </w:p>
    <w:p>
      <w:pPr>
        <w:spacing w:after="0" w:line="235" w:lineRule="exact"/>
        <w:rPr>
          <w:sz w:val="20"/>
          <w:szCs w:val="20"/>
          <w:color w:val="auto"/>
        </w:rPr>
      </w:pPr>
    </w:p>
    <w:p>
      <w:pPr>
        <w:ind w:left="1180"/>
        <w:spacing w:after="0" w:line="366" w:lineRule="exact"/>
        <w:tabs>
          <w:tab w:leader="none" w:pos="2280" w:val="left"/>
        </w:tabs>
        <w:rPr>
          <w:sz w:val="20"/>
          <w:szCs w:val="20"/>
          <w:color w:val="auto"/>
        </w:rPr>
      </w:pPr>
      <w:r>
        <w:rPr>
          <w:rFonts w:ascii="仿宋" w:cs="仿宋" w:eastAsia="仿宋" w:hAnsi="仿宋"/>
          <w:sz w:val="32"/>
          <w:szCs w:val="32"/>
          <w:color w:val="auto"/>
        </w:rPr>
        <w:t>4.2.2</w:t>
      </w:r>
      <w:r>
        <w:rPr>
          <w:sz w:val="20"/>
          <w:szCs w:val="20"/>
          <w:color w:val="auto"/>
        </w:rPr>
        <w:tab/>
      </w:r>
      <w:r>
        <w:rPr>
          <w:rFonts w:ascii="仿宋" w:cs="仿宋" w:eastAsia="仿宋" w:hAnsi="仿宋"/>
          <w:sz w:val="31"/>
          <w:szCs w:val="31"/>
          <w:color w:val="auto"/>
        </w:rPr>
        <w:t>网络区域应划分为业务网、服务网、外联网三个</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网络，实现各区域系统相对独立，便于网络系统的安全管理。</w:t>
      </w:r>
    </w:p>
    <w:p>
      <w:pPr>
        <w:spacing w:after="0" w:line="235" w:lineRule="exact"/>
        <w:rPr>
          <w:sz w:val="20"/>
          <w:szCs w:val="20"/>
          <w:color w:val="auto"/>
        </w:rPr>
      </w:pPr>
    </w:p>
    <w:p>
      <w:pPr>
        <w:ind w:left="1180"/>
        <w:spacing w:after="0" w:line="366" w:lineRule="exact"/>
        <w:tabs>
          <w:tab w:leader="none" w:pos="2280" w:val="left"/>
        </w:tabs>
        <w:rPr>
          <w:sz w:val="20"/>
          <w:szCs w:val="20"/>
          <w:color w:val="auto"/>
        </w:rPr>
      </w:pPr>
      <w:r>
        <w:rPr>
          <w:rFonts w:ascii="仿宋" w:cs="仿宋" w:eastAsia="仿宋" w:hAnsi="仿宋"/>
          <w:sz w:val="32"/>
          <w:szCs w:val="32"/>
          <w:color w:val="auto"/>
        </w:rPr>
        <w:t>4.2.3</w:t>
      </w:r>
      <w:r>
        <w:rPr>
          <w:sz w:val="20"/>
          <w:szCs w:val="20"/>
          <w:color w:val="auto"/>
        </w:rPr>
        <w:tab/>
      </w:r>
      <w:r>
        <w:rPr>
          <w:rFonts w:ascii="仿宋" w:cs="仿宋" w:eastAsia="仿宋" w:hAnsi="仿宋"/>
          <w:sz w:val="31"/>
          <w:szCs w:val="31"/>
          <w:color w:val="auto"/>
        </w:rPr>
        <w:t>整体设计应符合国家、行业标准规范和信息安全</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保障体系的要求。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379"/>
        <w:spacing w:after="0" w:line="274" w:lineRule="exact"/>
        <w:rPr>
          <w:sz w:val="20"/>
          <w:szCs w:val="20"/>
          <w:color w:val="auto"/>
        </w:rPr>
      </w:pPr>
      <w:r>
        <w:rPr>
          <w:rFonts w:ascii="宋体" w:cs="宋体" w:eastAsia="宋体" w:hAnsi="宋体"/>
          <w:sz w:val="24"/>
          <w:szCs w:val="24"/>
          <w:color w:val="auto"/>
        </w:rPr>
        <w:t>- 5 -</w:t>
      </w:r>
    </w:p>
    <w:p>
      <w:pPr>
        <w:sectPr>
          <w:pgSz w:w="11900" w:h="16840" w:orient="portrait"/>
          <w:cols w:equalWidth="0" w:num="1">
            <w:col w:w="9200"/>
          </w:cols>
          <w:pgMar w:left="1440" w:top="1440" w:right="1264" w:bottom="467" w:gutter="0" w:footer="0" w:header="0"/>
          <w:type w:val="continuous"/>
        </w:sectPr>
      </w:pPr>
    </w:p>
    <w:bookmarkStart w:id="4" w:name="page5"/>
    <w:bookmarkEnd w:id="4"/>
    <w:p>
      <w:pPr>
        <w:spacing w:after="0" w:line="183" w:lineRule="exact"/>
        <w:rPr>
          <w:sz w:val="20"/>
          <w:szCs w:val="20"/>
          <w:color w:val="auto"/>
        </w:rPr>
      </w:pPr>
    </w:p>
    <w:p>
      <w:pPr>
        <w:ind w:left="540" w:right="40" w:firstLine="640"/>
        <w:spacing w:after="0" w:line="463" w:lineRule="exact"/>
        <w:rPr>
          <w:sz w:val="20"/>
          <w:szCs w:val="20"/>
          <w:color w:val="auto"/>
        </w:rPr>
      </w:pPr>
      <w:r>
        <w:rPr>
          <w:rFonts w:ascii="仿宋" w:cs="仿宋" w:eastAsia="仿宋" w:hAnsi="仿宋"/>
          <w:sz w:val="32"/>
          <w:szCs w:val="32"/>
          <w:color w:val="auto"/>
        </w:rPr>
        <w:t>4.3 根据服务和业务处理的需要，应建立规范的综合服务平台、柜面服务以及外联的渠道。</w:t>
      </w:r>
    </w:p>
    <w:p>
      <w:pPr>
        <w:spacing w:after="0" w:line="275" w:lineRule="exact"/>
        <w:rPr>
          <w:sz w:val="20"/>
          <w:szCs w:val="20"/>
          <w:color w:val="auto"/>
        </w:rPr>
      </w:pPr>
    </w:p>
    <w:p>
      <w:pPr>
        <w:jc w:val="both"/>
        <w:ind w:left="540" w:firstLine="640"/>
        <w:spacing w:after="0" w:line="508" w:lineRule="exact"/>
        <w:rPr>
          <w:sz w:val="20"/>
          <w:szCs w:val="20"/>
          <w:color w:val="auto"/>
        </w:rPr>
      </w:pPr>
      <w:r>
        <w:rPr>
          <w:rFonts w:ascii="仿宋" w:cs="仿宋" w:eastAsia="仿宋" w:hAnsi="仿宋"/>
          <w:sz w:val="32"/>
          <w:szCs w:val="32"/>
          <w:color w:val="auto"/>
        </w:rPr>
        <w:t>4.4 业务应用层应包括综合服务平台系统、住房公积金信息系统、内部管理系统，资金结算接口、异地转移接续和贷款系统接口、外联单位联网接口等。</w:t>
      </w:r>
    </w:p>
    <w:p>
      <w:pPr>
        <w:spacing w:after="0" w:line="276" w:lineRule="exact"/>
        <w:rPr>
          <w:sz w:val="20"/>
          <w:szCs w:val="20"/>
          <w:color w:val="auto"/>
        </w:rPr>
      </w:pPr>
    </w:p>
    <w:p>
      <w:pPr>
        <w:ind w:left="540" w:right="40" w:firstLine="640"/>
        <w:spacing w:after="0" w:line="463" w:lineRule="exact"/>
        <w:rPr>
          <w:sz w:val="20"/>
          <w:szCs w:val="20"/>
          <w:color w:val="auto"/>
        </w:rPr>
      </w:pPr>
      <w:r>
        <w:rPr>
          <w:rFonts w:ascii="仿宋" w:cs="仿宋" w:eastAsia="仿宋" w:hAnsi="仿宋"/>
          <w:sz w:val="32"/>
          <w:szCs w:val="32"/>
          <w:color w:val="auto"/>
        </w:rPr>
        <w:t>4.4.1 住房公积金综合服务平台系统应按照行业统一要求建设，可采用云平台技术满足多渠道提供服务的要求。</w:t>
      </w:r>
    </w:p>
    <w:p>
      <w:pPr>
        <w:spacing w:after="0" w:line="275" w:lineRule="exact"/>
        <w:rPr>
          <w:sz w:val="20"/>
          <w:szCs w:val="20"/>
          <w:color w:val="auto"/>
        </w:rPr>
      </w:pPr>
    </w:p>
    <w:p>
      <w:pPr>
        <w:ind w:left="540" w:right="40" w:firstLine="640"/>
        <w:spacing w:after="0" w:line="463" w:lineRule="exact"/>
        <w:rPr>
          <w:sz w:val="20"/>
          <w:szCs w:val="20"/>
          <w:color w:val="auto"/>
        </w:rPr>
      </w:pPr>
      <w:r>
        <w:rPr>
          <w:rFonts w:ascii="仿宋" w:cs="仿宋" w:eastAsia="仿宋" w:hAnsi="仿宋"/>
          <w:sz w:val="32"/>
          <w:szCs w:val="32"/>
          <w:color w:val="auto"/>
        </w:rPr>
        <w:t>4.4.2 住房公积金信息系统应严格按照《住房公积金信息系统技术规范》建设。</w:t>
      </w:r>
    </w:p>
    <w:p>
      <w:pPr>
        <w:spacing w:after="0" w:line="275" w:lineRule="exact"/>
        <w:rPr>
          <w:sz w:val="20"/>
          <w:szCs w:val="20"/>
          <w:color w:val="auto"/>
        </w:rPr>
      </w:pPr>
    </w:p>
    <w:p>
      <w:pPr>
        <w:jc w:val="both"/>
        <w:ind w:left="540" w:right="20" w:firstLine="640"/>
        <w:spacing w:after="0" w:line="508" w:lineRule="exact"/>
        <w:rPr>
          <w:sz w:val="20"/>
          <w:szCs w:val="20"/>
          <w:color w:val="auto"/>
        </w:rPr>
      </w:pPr>
      <w:r>
        <w:rPr>
          <w:rFonts w:ascii="仿宋" w:cs="仿宋" w:eastAsia="仿宋" w:hAnsi="仿宋"/>
          <w:sz w:val="32"/>
          <w:szCs w:val="32"/>
          <w:color w:val="auto"/>
        </w:rPr>
        <w:t>4.4.3 内部管理系统可包括行政执法支持、稽核审计、统计分析、辅助决策、电子档案、办公自动化（OA）、绩效考核等方面功能。</w:t>
      </w:r>
    </w:p>
    <w:p>
      <w:pPr>
        <w:spacing w:after="0" w:line="276" w:lineRule="exact"/>
        <w:rPr>
          <w:sz w:val="20"/>
          <w:szCs w:val="20"/>
          <w:color w:val="auto"/>
        </w:rPr>
      </w:pPr>
    </w:p>
    <w:p>
      <w:pPr>
        <w:jc w:val="both"/>
        <w:ind w:left="540" w:right="20" w:firstLine="640"/>
        <w:spacing w:after="0" w:line="508" w:lineRule="exact"/>
        <w:rPr>
          <w:sz w:val="20"/>
          <w:szCs w:val="20"/>
          <w:color w:val="auto"/>
        </w:rPr>
      </w:pPr>
      <w:r>
        <w:rPr>
          <w:rFonts w:ascii="仿宋" w:cs="仿宋" w:eastAsia="仿宋" w:hAnsi="仿宋"/>
          <w:sz w:val="32"/>
          <w:szCs w:val="32"/>
          <w:color w:val="auto"/>
        </w:rPr>
        <w:t>4.4.4 应按照《住房公积金信息系统技术规范》“5 资金结算”的规定，通过全国统一的结算应用系统接口，实现与银行联网结算。</w:t>
      </w:r>
    </w:p>
    <w:p>
      <w:pPr>
        <w:spacing w:after="0" w:line="276" w:lineRule="exact"/>
        <w:rPr>
          <w:sz w:val="20"/>
          <w:szCs w:val="20"/>
          <w:color w:val="auto"/>
        </w:rPr>
      </w:pPr>
    </w:p>
    <w:p>
      <w:pPr>
        <w:ind w:left="540" w:right="40" w:firstLine="640"/>
        <w:spacing w:after="0" w:line="463" w:lineRule="exact"/>
        <w:rPr>
          <w:sz w:val="20"/>
          <w:szCs w:val="20"/>
          <w:color w:val="auto"/>
        </w:rPr>
      </w:pPr>
      <w:r>
        <w:rPr>
          <w:rFonts w:ascii="仿宋" w:cs="仿宋" w:eastAsia="仿宋" w:hAnsi="仿宋"/>
          <w:sz w:val="32"/>
          <w:szCs w:val="32"/>
          <w:color w:val="auto"/>
        </w:rPr>
        <w:t>4.4.5 应按照行业统一标准接入异地转移接续和贷款系统。</w:t>
      </w:r>
    </w:p>
    <w:p>
      <w:pPr>
        <w:spacing w:after="0" w:line="275" w:lineRule="exact"/>
        <w:rPr>
          <w:sz w:val="20"/>
          <w:szCs w:val="20"/>
          <w:color w:val="auto"/>
        </w:rPr>
      </w:pPr>
    </w:p>
    <w:p>
      <w:pPr>
        <w:jc w:val="both"/>
        <w:ind w:left="540" w:firstLine="640"/>
        <w:spacing w:after="0" w:line="508" w:lineRule="exact"/>
        <w:rPr>
          <w:sz w:val="20"/>
          <w:szCs w:val="20"/>
          <w:color w:val="auto"/>
        </w:rPr>
      </w:pPr>
      <w:r>
        <w:rPr>
          <w:rFonts w:ascii="仿宋" w:cs="仿宋" w:eastAsia="仿宋" w:hAnsi="仿宋"/>
          <w:sz w:val="32"/>
          <w:szCs w:val="32"/>
          <w:color w:val="auto"/>
        </w:rPr>
        <w:t>4.4.6 外部系统联网接口应实现与当地房产交易、产权产籍、质量监督、工商、税务、社保、公安、民政等相关部门进行信息资源共享。</w:t>
      </w:r>
    </w:p>
    <w:p>
      <w:pPr>
        <w:spacing w:after="0" w:line="276" w:lineRule="exact"/>
        <w:rPr>
          <w:sz w:val="20"/>
          <w:szCs w:val="20"/>
          <w:color w:val="auto"/>
        </w:rPr>
      </w:pPr>
    </w:p>
    <w:p>
      <w:pPr>
        <w:jc w:val="both"/>
        <w:ind w:left="540" w:firstLine="640"/>
        <w:spacing w:after="0" w:line="508" w:lineRule="exact"/>
        <w:rPr>
          <w:sz w:val="20"/>
          <w:szCs w:val="20"/>
          <w:color w:val="auto"/>
        </w:rPr>
      </w:pPr>
      <w:r>
        <w:rPr>
          <w:rFonts w:ascii="仿宋" w:cs="仿宋" w:eastAsia="仿宋" w:hAnsi="仿宋"/>
          <w:sz w:val="32"/>
          <w:szCs w:val="32"/>
          <w:color w:val="auto"/>
        </w:rPr>
        <w:t>4.5 应用支撑层应由应用中间件、业务服务组件平台、工作流管理平台、报表工具、商务智能工具、统一对外接入平台等组成。</w:t>
      </w:r>
    </w:p>
    <w:p>
      <w:pPr>
        <w:spacing w:after="0" w:line="387" w:lineRule="exact"/>
        <w:rPr>
          <w:sz w:val="20"/>
          <w:szCs w:val="20"/>
          <w:color w:val="auto"/>
        </w:rPr>
      </w:pPr>
    </w:p>
    <w:p>
      <w:pPr>
        <w:ind w:left="4500"/>
        <w:spacing w:after="0" w:line="274" w:lineRule="exact"/>
        <w:rPr>
          <w:sz w:val="20"/>
          <w:szCs w:val="20"/>
          <w:color w:val="auto"/>
        </w:rPr>
      </w:pPr>
      <w:r>
        <w:rPr>
          <w:rFonts w:ascii="宋体" w:cs="宋体" w:eastAsia="宋体" w:hAnsi="宋体"/>
          <w:sz w:val="24"/>
          <w:szCs w:val="24"/>
          <w:color w:val="auto"/>
        </w:rPr>
        <w:t>- 6 -</w:t>
      </w:r>
    </w:p>
    <w:p>
      <w:pPr>
        <w:sectPr>
          <w:pgSz w:w="11900" w:h="16840" w:orient="portrait"/>
          <w:cols w:equalWidth="0" w:num="1">
            <w:col w:w="9060"/>
          </w:cols>
          <w:pgMar w:left="1440" w:top="1440" w:right="1404" w:bottom="467" w:gutter="0" w:footer="0" w:header="0"/>
        </w:sectPr>
      </w:pPr>
    </w:p>
    <w:bookmarkStart w:id="5" w:name="page6"/>
    <w:bookmarkEnd w:id="5"/>
    <w:p>
      <w:pPr>
        <w:spacing w:after="0" w:line="183" w:lineRule="exact"/>
        <w:rPr>
          <w:sz w:val="20"/>
          <w:szCs w:val="20"/>
          <w:color w:val="auto"/>
        </w:rPr>
      </w:pPr>
    </w:p>
    <w:p>
      <w:pPr>
        <w:ind w:left="540" w:right="180" w:firstLine="640"/>
        <w:spacing w:after="0" w:line="463" w:lineRule="exact"/>
        <w:rPr>
          <w:sz w:val="20"/>
          <w:szCs w:val="20"/>
          <w:color w:val="auto"/>
        </w:rPr>
      </w:pPr>
      <w:r>
        <w:rPr>
          <w:rFonts w:ascii="仿宋" w:cs="仿宋" w:eastAsia="仿宋" w:hAnsi="仿宋"/>
          <w:sz w:val="32"/>
          <w:szCs w:val="32"/>
          <w:color w:val="auto"/>
        </w:rPr>
        <w:t>4.5.1 应通过应用中间件支持应用系统的快速部署、实时发布。</w:t>
      </w:r>
    </w:p>
    <w:p>
      <w:pPr>
        <w:spacing w:after="0" w:line="275" w:lineRule="exact"/>
        <w:rPr>
          <w:sz w:val="20"/>
          <w:szCs w:val="20"/>
          <w:color w:val="auto"/>
        </w:rPr>
      </w:pPr>
    </w:p>
    <w:p>
      <w:pPr>
        <w:ind w:left="540" w:right="180" w:firstLine="640"/>
        <w:spacing w:after="0" w:line="463" w:lineRule="exact"/>
        <w:rPr>
          <w:sz w:val="20"/>
          <w:szCs w:val="20"/>
          <w:color w:val="auto"/>
        </w:rPr>
      </w:pPr>
      <w:r>
        <w:rPr>
          <w:rFonts w:ascii="仿宋" w:cs="仿宋" w:eastAsia="仿宋" w:hAnsi="仿宋"/>
          <w:sz w:val="32"/>
          <w:szCs w:val="32"/>
          <w:color w:val="auto"/>
        </w:rPr>
        <w:t>4.5.2 应通过组件化设计和工作流管理平台实现功能组件复用和灵活配置，能够有效满足业务变化的需求。</w:t>
      </w:r>
    </w:p>
    <w:p>
      <w:pPr>
        <w:spacing w:after="0" w:line="275" w:lineRule="exact"/>
        <w:rPr>
          <w:sz w:val="20"/>
          <w:szCs w:val="20"/>
          <w:color w:val="auto"/>
        </w:rPr>
      </w:pPr>
    </w:p>
    <w:p>
      <w:pPr>
        <w:ind w:left="540" w:right="180" w:firstLine="640"/>
        <w:spacing w:after="0" w:line="463" w:lineRule="exact"/>
        <w:rPr>
          <w:sz w:val="20"/>
          <w:szCs w:val="20"/>
          <w:color w:val="auto"/>
        </w:rPr>
      </w:pPr>
      <w:r>
        <w:rPr>
          <w:rFonts w:ascii="仿宋" w:cs="仿宋" w:eastAsia="仿宋" w:hAnsi="仿宋"/>
          <w:sz w:val="32"/>
          <w:szCs w:val="32"/>
          <w:color w:val="auto"/>
        </w:rPr>
        <w:t>4.5.3 应通过报表工具提供灵活的统计查询功能，满足日常管理、统计、查询相关的各类报表需求。</w:t>
      </w:r>
    </w:p>
    <w:p>
      <w:pPr>
        <w:spacing w:after="0" w:line="275" w:lineRule="exact"/>
        <w:rPr>
          <w:sz w:val="20"/>
          <w:szCs w:val="20"/>
          <w:color w:val="auto"/>
        </w:rPr>
      </w:pPr>
    </w:p>
    <w:p>
      <w:pPr>
        <w:ind w:left="540" w:right="180" w:firstLine="640"/>
        <w:spacing w:after="0" w:line="463" w:lineRule="exact"/>
        <w:rPr>
          <w:sz w:val="20"/>
          <w:szCs w:val="20"/>
          <w:color w:val="auto"/>
        </w:rPr>
      </w:pPr>
      <w:r>
        <w:rPr>
          <w:rFonts w:ascii="仿宋" w:cs="仿宋" w:eastAsia="仿宋" w:hAnsi="仿宋"/>
          <w:sz w:val="32"/>
          <w:szCs w:val="32"/>
          <w:color w:val="auto"/>
        </w:rPr>
        <w:t>4.5.4 应通过商业智能工具，支持数据分析处理功能，满足辅助决策支持的功能需求。</w:t>
      </w:r>
    </w:p>
    <w:p>
      <w:pPr>
        <w:spacing w:after="0" w:line="275" w:lineRule="exact"/>
        <w:rPr>
          <w:sz w:val="20"/>
          <w:szCs w:val="20"/>
          <w:color w:val="auto"/>
        </w:rPr>
      </w:pPr>
    </w:p>
    <w:p>
      <w:pPr>
        <w:ind w:left="540" w:firstLine="640"/>
        <w:spacing w:after="0" w:line="463" w:lineRule="exact"/>
        <w:rPr>
          <w:sz w:val="20"/>
          <w:szCs w:val="20"/>
          <w:color w:val="auto"/>
        </w:rPr>
      </w:pPr>
      <w:r>
        <w:rPr>
          <w:rFonts w:ascii="仿宋" w:cs="仿宋" w:eastAsia="仿宋" w:hAnsi="仿宋"/>
          <w:sz w:val="32"/>
          <w:szCs w:val="32"/>
          <w:color w:val="auto"/>
        </w:rPr>
        <w:t>4.5.5 应通过统一对外接入平台提供与外联单位的对接服务，包括外联渠道管理、联网协议管理、接入安全管理等。</w:t>
      </w:r>
    </w:p>
    <w:p>
      <w:pPr>
        <w:spacing w:after="0" w:line="275" w:lineRule="exact"/>
        <w:rPr>
          <w:sz w:val="20"/>
          <w:szCs w:val="20"/>
          <w:color w:val="auto"/>
        </w:rPr>
      </w:pPr>
    </w:p>
    <w:p>
      <w:pPr>
        <w:jc w:val="both"/>
        <w:ind w:left="540" w:right="140" w:firstLine="640"/>
        <w:spacing w:after="0" w:line="508" w:lineRule="exact"/>
        <w:rPr>
          <w:sz w:val="20"/>
          <w:szCs w:val="20"/>
          <w:color w:val="auto"/>
        </w:rPr>
      </w:pPr>
      <w:r>
        <w:rPr>
          <w:rFonts w:ascii="仿宋" w:cs="仿宋" w:eastAsia="仿宋" w:hAnsi="仿宋"/>
          <w:sz w:val="32"/>
          <w:szCs w:val="32"/>
          <w:color w:val="auto"/>
        </w:rPr>
        <w:t>4.6 数据资源层应包含管理数据库、生产交易数据库、历史生产交易数据库、综合服务数据库、查询数据库、数据仓库等。</w:t>
      </w:r>
    </w:p>
    <w:p>
      <w:pPr>
        <w:spacing w:after="0" w:line="276" w:lineRule="exact"/>
        <w:rPr>
          <w:sz w:val="20"/>
          <w:szCs w:val="20"/>
          <w:color w:val="auto"/>
        </w:rPr>
      </w:pPr>
    </w:p>
    <w:p>
      <w:pPr>
        <w:jc w:val="both"/>
        <w:ind w:left="540" w:right="160" w:firstLine="640"/>
        <w:spacing w:after="0" w:line="508" w:lineRule="exact"/>
        <w:rPr>
          <w:sz w:val="20"/>
          <w:szCs w:val="20"/>
          <w:color w:val="auto"/>
        </w:rPr>
      </w:pPr>
      <w:r>
        <w:rPr>
          <w:rFonts w:ascii="仿宋" w:cs="仿宋" w:eastAsia="仿宋" w:hAnsi="仿宋"/>
          <w:sz w:val="32"/>
          <w:szCs w:val="32"/>
          <w:color w:val="auto"/>
        </w:rPr>
        <w:t>4.7 基础设施层应包括主机系统（含操作系统、数据库软件、群集软件和系统监控软件）、存储系统（含备份软件）、网络系统、安全系统与容灾系统等。</w:t>
      </w:r>
    </w:p>
    <w:p>
      <w:pPr>
        <w:spacing w:after="0" w:line="238"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4.8</w:t>
      </w:r>
      <w:r>
        <w:rPr>
          <w:sz w:val="20"/>
          <w:szCs w:val="20"/>
          <w:color w:val="auto"/>
        </w:rPr>
        <w:tab/>
      </w:r>
      <w:r>
        <w:rPr>
          <w:rFonts w:ascii="仿宋" w:cs="仿宋" w:eastAsia="仿宋" w:hAnsi="仿宋"/>
          <w:sz w:val="31"/>
          <w:szCs w:val="31"/>
          <w:color w:val="auto"/>
        </w:rPr>
        <w:t>应满足上级监管和廉政风险防控的相关要求。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379"/>
        <w:spacing w:after="0" w:line="274" w:lineRule="exact"/>
        <w:rPr>
          <w:sz w:val="20"/>
          <w:szCs w:val="20"/>
          <w:color w:val="auto"/>
        </w:rPr>
      </w:pPr>
      <w:r>
        <w:rPr>
          <w:rFonts w:ascii="宋体" w:cs="宋体" w:eastAsia="宋体" w:hAnsi="宋体"/>
          <w:sz w:val="24"/>
          <w:szCs w:val="24"/>
          <w:color w:val="auto"/>
        </w:rPr>
        <w:t>- 7 -</w:t>
      </w:r>
    </w:p>
    <w:p>
      <w:pPr>
        <w:sectPr>
          <w:pgSz w:w="11900" w:h="16840" w:orient="portrait"/>
          <w:cols w:equalWidth="0" w:num="1">
            <w:col w:w="9200"/>
          </w:cols>
          <w:pgMar w:left="1440" w:top="1440" w:right="1264" w:bottom="467" w:gutter="0" w:footer="0" w:header="0"/>
        </w:sectPr>
      </w:pPr>
    </w:p>
    <w:bookmarkStart w:id="6" w:name="page7"/>
    <w:bookmarkEnd w:id="6"/>
    <w:p>
      <w:pPr>
        <w:spacing w:after="0" w:line="98" w:lineRule="exact"/>
        <w:rPr>
          <w:sz w:val="20"/>
          <w:szCs w:val="20"/>
          <w:color w:val="auto"/>
        </w:rPr>
      </w:pPr>
    </w:p>
    <w:p>
      <w:pPr>
        <w:jc w:val="center"/>
        <w:ind w:left="3820"/>
        <w:spacing w:after="0" w:line="411" w:lineRule="exact"/>
        <w:tabs>
          <w:tab w:leader="none" w:pos="340" w:val="left"/>
        </w:tabs>
        <w:rPr>
          <w:sz w:val="20"/>
          <w:szCs w:val="20"/>
          <w:color w:val="auto"/>
        </w:rPr>
      </w:pPr>
      <w:r>
        <w:rPr>
          <w:rFonts w:ascii="黑体" w:cs="黑体" w:eastAsia="黑体" w:hAnsi="黑体"/>
          <w:sz w:val="36"/>
          <w:szCs w:val="36"/>
          <w:color w:val="auto"/>
        </w:rPr>
        <w:t>5</w:t>
        <w:tab/>
        <w:t>项目管理</w:t>
      </w:r>
    </w:p>
    <w:p>
      <w:pPr>
        <w:spacing w:after="0" w:line="275" w:lineRule="exact"/>
        <w:rPr>
          <w:sz w:val="20"/>
          <w:szCs w:val="20"/>
          <w:color w:val="auto"/>
        </w:rPr>
      </w:pPr>
    </w:p>
    <w:p>
      <w:pPr>
        <w:ind w:left="540" w:right="340" w:firstLine="640"/>
        <w:spacing w:after="0" w:line="463" w:lineRule="exact"/>
        <w:rPr>
          <w:sz w:val="20"/>
          <w:szCs w:val="20"/>
          <w:color w:val="auto"/>
        </w:rPr>
      </w:pPr>
      <w:r>
        <w:rPr>
          <w:rFonts w:ascii="仿宋" w:cs="仿宋" w:eastAsia="仿宋" w:hAnsi="仿宋"/>
          <w:sz w:val="32"/>
          <w:szCs w:val="32"/>
          <w:color w:val="auto"/>
        </w:rPr>
        <w:t>5.1 项目管理应包括方案规划、建设、运行维护三个阶段。</w:t>
      </w:r>
    </w:p>
    <w:p>
      <w:pPr>
        <w:spacing w:after="0" w:line="238"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5.2</w:t>
      </w:r>
      <w:r>
        <w:rPr>
          <w:sz w:val="20"/>
          <w:szCs w:val="20"/>
          <w:color w:val="auto"/>
        </w:rPr>
        <w:tab/>
      </w:r>
      <w:r>
        <w:rPr>
          <w:rFonts w:ascii="仿宋" w:cs="仿宋" w:eastAsia="仿宋" w:hAnsi="仿宋"/>
          <w:sz w:val="31"/>
          <w:szCs w:val="31"/>
          <w:color w:val="auto"/>
        </w:rPr>
        <w:t>方案规划阶段</w:t>
      </w:r>
    </w:p>
    <w:p>
      <w:pPr>
        <w:spacing w:after="0" w:line="273" w:lineRule="exact"/>
        <w:rPr>
          <w:sz w:val="20"/>
          <w:szCs w:val="20"/>
          <w:color w:val="auto"/>
        </w:rPr>
      </w:pPr>
    </w:p>
    <w:p>
      <w:pPr>
        <w:ind w:left="540" w:right="340" w:firstLine="640"/>
        <w:spacing w:after="0" w:line="463" w:lineRule="exact"/>
        <w:rPr>
          <w:sz w:val="20"/>
          <w:szCs w:val="20"/>
          <w:color w:val="auto"/>
        </w:rPr>
      </w:pPr>
      <w:r>
        <w:rPr>
          <w:rFonts w:ascii="仿宋" w:cs="仿宋" w:eastAsia="仿宋" w:hAnsi="仿宋"/>
          <w:sz w:val="32"/>
          <w:szCs w:val="32"/>
          <w:color w:val="auto"/>
        </w:rPr>
        <w:t>5.2.1 公积金中心应对既有信息系统进行客观评估，确定系统是重新建设还是升级改造，并开展可行性分析。</w:t>
      </w:r>
    </w:p>
    <w:p>
      <w:pPr>
        <w:spacing w:after="0" w:line="275" w:lineRule="exact"/>
        <w:rPr>
          <w:sz w:val="20"/>
          <w:szCs w:val="20"/>
          <w:color w:val="auto"/>
        </w:rPr>
      </w:pPr>
    </w:p>
    <w:p>
      <w:pPr>
        <w:ind w:left="540" w:firstLine="640"/>
        <w:spacing w:after="0" w:line="531" w:lineRule="exact"/>
        <w:rPr>
          <w:sz w:val="20"/>
          <w:szCs w:val="20"/>
          <w:color w:val="auto"/>
        </w:rPr>
      </w:pPr>
      <w:r>
        <w:rPr>
          <w:rFonts w:ascii="仿宋" w:cs="仿宋" w:eastAsia="仿宋" w:hAnsi="仿宋"/>
          <w:sz w:val="31"/>
          <w:szCs w:val="31"/>
          <w:color w:val="auto"/>
        </w:rPr>
        <w:t>5.2.2 应根据系统重要性、业务发生量，充分考虑未来业务发展，进行系统容量评估，配置与业务规模相适应的主机设备和存储容量，设备应优先选择国产品牌、技术成熟的产品和服务，其中密码设备产品须符合国家密码管理要求（附录二）。</w:t>
      </w:r>
    </w:p>
    <w:p>
      <w:pPr>
        <w:spacing w:after="0" w:line="278" w:lineRule="exact"/>
        <w:rPr>
          <w:sz w:val="20"/>
          <w:szCs w:val="20"/>
          <w:color w:val="auto"/>
        </w:rPr>
      </w:pPr>
    </w:p>
    <w:p>
      <w:pPr>
        <w:ind w:left="540" w:right="160" w:firstLine="640"/>
        <w:spacing w:after="0" w:line="531" w:lineRule="exact"/>
        <w:rPr>
          <w:sz w:val="20"/>
          <w:szCs w:val="20"/>
          <w:color w:val="auto"/>
        </w:rPr>
      </w:pPr>
      <w:r>
        <w:rPr>
          <w:rFonts w:ascii="仿宋" w:cs="仿宋" w:eastAsia="仿宋" w:hAnsi="仿宋"/>
          <w:sz w:val="32"/>
          <w:szCs w:val="32"/>
          <w:color w:val="auto"/>
        </w:rPr>
        <w:t>自购设备应考虑通过集群或双机热备来实现高可用性和可靠性。优先考虑采用具备横向扩展能力集群部署方案，充分利用主机资源。并可根据业务发展需要分批次投入主机设备，提升服务能力。</w:t>
      </w:r>
    </w:p>
    <w:p>
      <w:pPr>
        <w:spacing w:after="0" w:line="277" w:lineRule="exact"/>
        <w:rPr>
          <w:sz w:val="20"/>
          <w:szCs w:val="20"/>
          <w:color w:val="auto"/>
        </w:rPr>
      </w:pPr>
    </w:p>
    <w:p>
      <w:pPr>
        <w:jc w:val="both"/>
        <w:ind w:left="540" w:right="300" w:firstLine="640"/>
        <w:spacing w:after="0" w:line="508" w:lineRule="exact"/>
        <w:rPr>
          <w:sz w:val="20"/>
          <w:szCs w:val="20"/>
          <w:color w:val="auto"/>
        </w:rPr>
      </w:pPr>
      <w:r>
        <w:rPr>
          <w:rFonts w:ascii="仿宋" w:cs="仿宋" w:eastAsia="仿宋" w:hAnsi="仿宋"/>
          <w:sz w:val="32"/>
          <w:szCs w:val="32"/>
          <w:color w:val="auto"/>
        </w:rPr>
        <w:t>5.2.3 应按照网络安全要求，合理规划业务网、服务网、外联网等网络；根据系统业务发生量，结合业务发展需要，评估网络建设需求，配置合适的网络带宽。</w:t>
      </w:r>
    </w:p>
    <w:p>
      <w:pPr>
        <w:spacing w:after="0" w:line="276" w:lineRule="exact"/>
        <w:rPr>
          <w:sz w:val="20"/>
          <w:szCs w:val="20"/>
          <w:color w:val="auto"/>
        </w:rPr>
      </w:pPr>
    </w:p>
    <w:p>
      <w:pPr>
        <w:ind w:left="540" w:right="340" w:firstLine="640"/>
        <w:spacing w:after="0" w:line="463" w:lineRule="exact"/>
        <w:rPr>
          <w:sz w:val="20"/>
          <w:szCs w:val="20"/>
          <w:color w:val="auto"/>
        </w:rPr>
      </w:pPr>
      <w:r>
        <w:rPr>
          <w:rFonts w:ascii="仿宋" w:cs="仿宋" w:eastAsia="仿宋" w:hAnsi="仿宋"/>
          <w:sz w:val="32"/>
          <w:szCs w:val="32"/>
          <w:color w:val="auto"/>
        </w:rPr>
        <w:t>5.2.4 系统软件应选择成熟可靠的操作系统、数据库软件、中间件等，推荐选择国产品牌。</w:t>
      </w:r>
    </w:p>
    <w:p>
      <w:pPr>
        <w:spacing w:after="0" w:line="275" w:lineRule="exact"/>
        <w:rPr>
          <w:sz w:val="20"/>
          <w:szCs w:val="20"/>
          <w:color w:val="auto"/>
        </w:rPr>
      </w:pPr>
    </w:p>
    <w:p>
      <w:pPr>
        <w:ind w:left="540" w:right="340" w:firstLine="640"/>
        <w:spacing w:after="0" w:line="463" w:lineRule="exact"/>
        <w:rPr>
          <w:sz w:val="20"/>
          <w:szCs w:val="20"/>
          <w:color w:val="auto"/>
        </w:rPr>
      </w:pPr>
      <w:r>
        <w:rPr>
          <w:rFonts w:ascii="仿宋" w:cs="仿宋" w:eastAsia="仿宋" w:hAnsi="仿宋"/>
          <w:sz w:val="32"/>
          <w:szCs w:val="32"/>
          <w:color w:val="auto"/>
        </w:rPr>
        <w:t>5.2.5 应用软件应按照“4 技术架构”要求进行规划设计。</w:t>
      </w:r>
    </w:p>
    <w:p>
      <w:pPr>
        <w:spacing w:after="0" w:line="275" w:lineRule="exact"/>
        <w:rPr>
          <w:sz w:val="20"/>
          <w:szCs w:val="20"/>
          <w:color w:val="auto"/>
        </w:rPr>
      </w:pPr>
    </w:p>
    <w:p>
      <w:pPr>
        <w:ind w:left="540" w:right="340" w:firstLine="640"/>
        <w:spacing w:after="0" w:line="463" w:lineRule="exact"/>
        <w:rPr>
          <w:sz w:val="20"/>
          <w:szCs w:val="20"/>
          <w:color w:val="auto"/>
        </w:rPr>
      </w:pPr>
      <w:r>
        <w:rPr>
          <w:rFonts w:ascii="仿宋" w:cs="仿宋" w:eastAsia="仿宋" w:hAnsi="仿宋"/>
          <w:sz w:val="32"/>
          <w:szCs w:val="32"/>
          <w:color w:val="auto"/>
        </w:rPr>
        <w:t>5.2.6 公积金中心信息系统及其运行环境宜遵循《计算机信息安全等级保护三级》要求进行安全规划设计。</w:t>
      </w:r>
    </w:p>
    <w:p>
      <w:pPr>
        <w:spacing w:after="0" w:line="387" w:lineRule="exact"/>
        <w:rPr>
          <w:sz w:val="20"/>
          <w:szCs w:val="20"/>
          <w:color w:val="auto"/>
        </w:rPr>
      </w:pPr>
    </w:p>
    <w:p>
      <w:pPr>
        <w:jc w:val="center"/>
        <w:ind w:right="-219"/>
        <w:spacing w:after="0" w:line="274" w:lineRule="exact"/>
        <w:rPr>
          <w:sz w:val="20"/>
          <w:szCs w:val="20"/>
          <w:color w:val="auto"/>
        </w:rPr>
      </w:pPr>
      <w:r>
        <w:rPr>
          <w:rFonts w:ascii="宋体" w:cs="宋体" w:eastAsia="宋体" w:hAnsi="宋体"/>
          <w:sz w:val="24"/>
          <w:szCs w:val="24"/>
          <w:color w:val="auto"/>
        </w:rPr>
        <w:t>- 8 -</w:t>
      </w:r>
    </w:p>
    <w:p>
      <w:pPr>
        <w:sectPr>
          <w:pgSz w:w="11900" w:h="16840" w:orient="portrait"/>
          <w:cols w:equalWidth="0" w:num="1">
            <w:col w:w="9360"/>
          </w:cols>
          <w:pgMar w:left="1440" w:top="1440" w:right="1104" w:bottom="467" w:gutter="0" w:footer="0" w:header="0"/>
        </w:sectPr>
      </w:pPr>
    </w:p>
    <w:bookmarkStart w:id="7" w:name="page8"/>
    <w:bookmarkEnd w:id="7"/>
    <w:p>
      <w:pPr>
        <w:spacing w:after="0" w:line="183" w:lineRule="exact"/>
        <w:rPr>
          <w:sz w:val="20"/>
          <w:szCs w:val="20"/>
          <w:color w:val="auto"/>
        </w:rPr>
      </w:pPr>
    </w:p>
    <w:p>
      <w:pPr>
        <w:ind w:left="540" w:firstLine="640"/>
        <w:spacing w:after="0" w:line="545" w:lineRule="exact"/>
        <w:rPr>
          <w:sz w:val="20"/>
          <w:szCs w:val="20"/>
          <w:color w:val="auto"/>
        </w:rPr>
      </w:pPr>
      <w:r>
        <w:rPr>
          <w:rFonts w:ascii="仿宋" w:cs="仿宋" w:eastAsia="仿宋" w:hAnsi="仿宋"/>
          <w:sz w:val="32"/>
          <w:szCs w:val="32"/>
          <w:color w:val="auto"/>
        </w:rPr>
        <w:t>5.2.7 公积金中心至少应建立数据级备份机制；有条件的可建设异地应用级容灾系统，支持远程数据容灾和应用快速切换。在确保数据安全的情况下，按照经济性、集约化原则，可以在符合安全和保密等条件下，利用政府和社会数据中心建立住房公积金数据容灾中心。</w:t>
      </w:r>
    </w:p>
    <w:p>
      <w:pPr>
        <w:spacing w:after="0" w:line="240"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5.3</w:t>
      </w:r>
      <w:r>
        <w:rPr>
          <w:sz w:val="20"/>
          <w:szCs w:val="20"/>
          <w:color w:val="auto"/>
        </w:rPr>
        <w:tab/>
      </w:r>
      <w:r>
        <w:rPr>
          <w:rFonts w:ascii="仿宋" w:cs="仿宋" w:eastAsia="仿宋" w:hAnsi="仿宋"/>
          <w:sz w:val="31"/>
          <w:szCs w:val="31"/>
          <w:color w:val="auto"/>
        </w:rPr>
        <w:t>建设阶段</w:t>
      </w:r>
    </w:p>
    <w:p>
      <w:pPr>
        <w:spacing w:after="0" w:line="235" w:lineRule="exact"/>
        <w:rPr>
          <w:sz w:val="20"/>
          <w:szCs w:val="20"/>
          <w:color w:val="auto"/>
        </w:rPr>
      </w:pPr>
    </w:p>
    <w:p>
      <w:pPr>
        <w:ind w:left="1180"/>
        <w:spacing w:after="0" w:line="366" w:lineRule="exact"/>
        <w:tabs>
          <w:tab w:leader="none" w:pos="2280" w:val="left"/>
        </w:tabs>
        <w:rPr>
          <w:sz w:val="20"/>
          <w:szCs w:val="20"/>
          <w:color w:val="auto"/>
        </w:rPr>
      </w:pPr>
      <w:r>
        <w:rPr>
          <w:rFonts w:ascii="仿宋" w:cs="仿宋" w:eastAsia="仿宋" w:hAnsi="仿宋"/>
          <w:sz w:val="32"/>
          <w:szCs w:val="32"/>
          <w:color w:val="auto"/>
        </w:rPr>
        <w:t>5.3.1</w:t>
      </w:r>
      <w:r>
        <w:rPr>
          <w:sz w:val="20"/>
          <w:szCs w:val="20"/>
          <w:color w:val="auto"/>
        </w:rPr>
        <w:tab/>
      </w:r>
      <w:r>
        <w:rPr>
          <w:rFonts w:ascii="仿宋" w:cs="仿宋" w:eastAsia="仿宋" w:hAnsi="仿宋"/>
          <w:sz w:val="31"/>
          <w:szCs w:val="31"/>
          <w:color w:val="auto"/>
        </w:rPr>
        <w:t>系统建设应将基础设施系统集成与信息系统开发</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和实施分开招标：</w:t>
      </w:r>
    </w:p>
    <w:p>
      <w:pPr>
        <w:spacing w:after="0" w:line="273" w:lineRule="exact"/>
        <w:rPr>
          <w:sz w:val="20"/>
          <w:szCs w:val="20"/>
          <w:color w:val="auto"/>
        </w:rPr>
      </w:pPr>
    </w:p>
    <w:p>
      <w:pPr>
        <w:jc w:val="both"/>
        <w:ind w:left="540" w:right="160" w:firstLine="640"/>
        <w:spacing w:after="0" w:line="508" w:lineRule="exact"/>
        <w:rPr>
          <w:sz w:val="20"/>
          <w:szCs w:val="20"/>
          <w:color w:val="auto"/>
        </w:rPr>
      </w:pPr>
      <w:r>
        <w:rPr>
          <w:rFonts w:ascii="仿宋" w:cs="仿宋" w:eastAsia="仿宋" w:hAnsi="仿宋"/>
          <w:sz w:val="32"/>
          <w:szCs w:val="32"/>
          <w:color w:val="auto"/>
        </w:rPr>
        <w:t>1 招标过程应符合《中华人民共和国政府采购法》要求。招标要求必须将贯彻《住房公积金基础数据标准》和《住房公积金信息系统技术规范》作为招标的条件之一。</w:t>
      </w:r>
    </w:p>
    <w:p>
      <w:pPr>
        <w:spacing w:after="0" w:line="276" w:lineRule="exact"/>
        <w:rPr>
          <w:sz w:val="20"/>
          <w:szCs w:val="20"/>
          <w:color w:val="auto"/>
        </w:rPr>
      </w:pPr>
    </w:p>
    <w:p>
      <w:pPr>
        <w:jc w:val="both"/>
        <w:ind w:left="540" w:right="160" w:firstLine="640"/>
        <w:spacing w:after="0" w:line="508" w:lineRule="exact"/>
        <w:rPr>
          <w:sz w:val="20"/>
          <w:szCs w:val="20"/>
          <w:color w:val="auto"/>
        </w:rPr>
      </w:pPr>
      <w:r>
        <w:rPr>
          <w:rFonts w:ascii="仿宋" w:cs="仿宋" w:eastAsia="仿宋" w:hAnsi="仿宋"/>
          <w:sz w:val="32"/>
          <w:szCs w:val="32"/>
          <w:color w:val="auto"/>
        </w:rPr>
        <w:t>2 为保障建设的质量与进度，可以引进熟悉住房公积金业务，且具备信息系统工程监理资质的信息化监理公司进行项目监理。</w:t>
      </w:r>
    </w:p>
    <w:p>
      <w:pPr>
        <w:spacing w:after="0" w:line="276" w:lineRule="exact"/>
        <w:rPr>
          <w:sz w:val="20"/>
          <w:szCs w:val="20"/>
          <w:color w:val="auto"/>
        </w:rPr>
      </w:pPr>
    </w:p>
    <w:p>
      <w:pPr>
        <w:ind w:left="540" w:right="160" w:firstLine="640"/>
        <w:spacing w:after="0" w:line="463" w:lineRule="exact"/>
        <w:rPr>
          <w:sz w:val="20"/>
          <w:szCs w:val="20"/>
          <w:color w:val="auto"/>
        </w:rPr>
      </w:pPr>
      <w:r>
        <w:rPr>
          <w:rFonts w:ascii="仿宋" w:cs="仿宋" w:eastAsia="仿宋" w:hAnsi="仿宋"/>
          <w:sz w:val="32"/>
          <w:szCs w:val="32"/>
          <w:color w:val="auto"/>
        </w:rPr>
        <w:t>5.3.2 系统实施阶段可包括需求分析、系统设计、开发、测试、试运行、上线、验收环节：</w:t>
      </w:r>
    </w:p>
    <w:p>
      <w:pPr>
        <w:spacing w:after="0" w:line="275" w:lineRule="exact"/>
        <w:rPr>
          <w:sz w:val="20"/>
          <w:szCs w:val="20"/>
          <w:color w:val="auto"/>
        </w:rPr>
      </w:pPr>
    </w:p>
    <w:p>
      <w:pPr>
        <w:ind w:left="540" w:right="160" w:firstLine="640"/>
        <w:spacing w:after="0" w:line="463" w:lineRule="exact"/>
        <w:rPr>
          <w:sz w:val="20"/>
          <w:szCs w:val="20"/>
          <w:color w:val="auto"/>
        </w:rPr>
      </w:pPr>
      <w:r>
        <w:rPr>
          <w:rFonts w:ascii="仿宋" w:cs="仿宋" w:eastAsia="仿宋" w:hAnsi="仿宋"/>
          <w:sz w:val="32"/>
          <w:szCs w:val="32"/>
          <w:color w:val="auto"/>
        </w:rPr>
        <w:t>1 需求分析阶段，应形成《业务功能需求说明书》和《技术需求说明书》《客户需求确认单》。</w:t>
      </w:r>
    </w:p>
    <w:p>
      <w:pPr>
        <w:spacing w:after="0" w:line="275" w:lineRule="exact"/>
        <w:rPr>
          <w:sz w:val="20"/>
          <w:szCs w:val="20"/>
          <w:color w:val="auto"/>
        </w:rPr>
      </w:pPr>
    </w:p>
    <w:p>
      <w:pPr>
        <w:ind w:left="540" w:right="180" w:firstLine="640"/>
        <w:spacing w:after="0" w:line="463" w:lineRule="exact"/>
        <w:rPr>
          <w:sz w:val="20"/>
          <w:szCs w:val="20"/>
          <w:color w:val="auto"/>
        </w:rPr>
      </w:pPr>
      <w:r>
        <w:rPr>
          <w:rFonts w:ascii="仿宋" w:cs="仿宋" w:eastAsia="仿宋" w:hAnsi="仿宋"/>
          <w:sz w:val="32"/>
          <w:szCs w:val="32"/>
          <w:color w:val="auto"/>
        </w:rPr>
        <w:t>2 系统设计阶段，应形成《概要设计说明书》《详细设计说明书》。</w:t>
      </w:r>
    </w:p>
    <w:p>
      <w:pPr>
        <w:spacing w:after="0" w:line="275" w:lineRule="exact"/>
        <w:rPr>
          <w:sz w:val="20"/>
          <w:szCs w:val="20"/>
          <w:color w:val="auto"/>
        </w:rPr>
      </w:pPr>
    </w:p>
    <w:p>
      <w:pPr>
        <w:ind w:left="540" w:right="160" w:firstLine="640"/>
        <w:spacing w:after="0" w:line="463" w:lineRule="exact"/>
        <w:rPr>
          <w:sz w:val="20"/>
          <w:szCs w:val="20"/>
          <w:color w:val="auto"/>
        </w:rPr>
      </w:pPr>
      <w:r>
        <w:rPr>
          <w:rFonts w:ascii="仿宋" w:cs="仿宋" w:eastAsia="仿宋" w:hAnsi="仿宋"/>
          <w:sz w:val="31"/>
          <w:szCs w:val="31"/>
          <w:color w:val="auto"/>
        </w:rPr>
        <w:t>3 开发阶段，应先编制《开发计划》，并按计划执行；开发过程应进行单元测试，形成《单元测试报告》；开发完毕，</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379"/>
        <w:spacing w:after="0" w:line="274" w:lineRule="exact"/>
        <w:rPr>
          <w:sz w:val="20"/>
          <w:szCs w:val="20"/>
          <w:color w:val="auto"/>
        </w:rPr>
      </w:pPr>
      <w:r>
        <w:rPr>
          <w:rFonts w:ascii="宋体" w:cs="宋体" w:eastAsia="宋体" w:hAnsi="宋体"/>
          <w:sz w:val="24"/>
          <w:szCs w:val="24"/>
          <w:color w:val="auto"/>
        </w:rPr>
        <w:t>- 9 -</w:t>
      </w:r>
    </w:p>
    <w:p>
      <w:pPr>
        <w:sectPr>
          <w:pgSz w:w="11900" w:h="16840" w:orient="portrait"/>
          <w:cols w:equalWidth="0" w:num="1">
            <w:col w:w="9200"/>
          </w:cols>
          <w:pgMar w:left="1440" w:top="1440" w:right="1264" w:bottom="467" w:gutter="0" w:footer="0" w:header="0"/>
        </w:sectPr>
      </w:pPr>
    </w:p>
    <w:bookmarkStart w:id="8" w:name="page9"/>
    <w:bookmarkEnd w:id="8"/>
    <w:p>
      <w:pPr>
        <w:spacing w:after="0" w:line="183" w:lineRule="exact"/>
        <w:rPr>
          <w:sz w:val="20"/>
          <w:szCs w:val="20"/>
          <w:color w:val="auto"/>
        </w:rPr>
      </w:pPr>
    </w:p>
    <w:p>
      <w:pPr>
        <w:ind w:left="540"/>
        <w:spacing w:after="0" w:line="463" w:lineRule="exact"/>
        <w:rPr>
          <w:sz w:val="20"/>
          <w:szCs w:val="20"/>
          <w:color w:val="auto"/>
        </w:rPr>
      </w:pPr>
      <w:r>
        <w:rPr>
          <w:rFonts w:ascii="仿宋" w:cs="仿宋" w:eastAsia="仿宋" w:hAnsi="仿宋"/>
          <w:sz w:val="32"/>
          <w:szCs w:val="32"/>
          <w:color w:val="auto"/>
        </w:rPr>
        <w:t>应形成《软件安装程序》《软件安装手册》《用户使用手册》《系统维护手册》。</w:t>
      </w:r>
    </w:p>
    <w:p>
      <w:pPr>
        <w:spacing w:after="0" w:line="275" w:lineRule="exact"/>
        <w:rPr>
          <w:sz w:val="20"/>
          <w:szCs w:val="20"/>
          <w:color w:val="auto"/>
        </w:rPr>
      </w:pPr>
    </w:p>
    <w:p>
      <w:pPr>
        <w:jc w:val="both"/>
        <w:ind w:left="540" w:right="140" w:firstLine="640"/>
        <w:spacing w:after="0" w:line="508" w:lineRule="exact"/>
        <w:rPr>
          <w:sz w:val="20"/>
          <w:szCs w:val="20"/>
          <w:color w:val="auto"/>
        </w:rPr>
      </w:pPr>
      <w:r>
        <w:rPr>
          <w:rFonts w:ascii="仿宋" w:cs="仿宋" w:eastAsia="仿宋" w:hAnsi="仿宋"/>
          <w:sz w:val="32"/>
          <w:szCs w:val="32"/>
          <w:color w:val="auto"/>
        </w:rPr>
        <w:t>4 测试阶段，应形成《测试方案》《测试记录》《集成测试报告》《业务测试报告》《非功能性测试报告》《操作手册》。</w:t>
      </w:r>
    </w:p>
    <w:p>
      <w:pPr>
        <w:spacing w:after="0" w:line="276" w:lineRule="exact"/>
        <w:rPr>
          <w:sz w:val="20"/>
          <w:szCs w:val="20"/>
          <w:color w:val="auto"/>
        </w:rPr>
      </w:pPr>
    </w:p>
    <w:p>
      <w:pPr>
        <w:jc w:val="both"/>
        <w:ind w:left="540" w:right="140" w:firstLine="640"/>
        <w:spacing w:after="0" w:line="546" w:lineRule="exact"/>
        <w:rPr>
          <w:sz w:val="20"/>
          <w:szCs w:val="20"/>
          <w:color w:val="auto"/>
        </w:rPr>
      </w:pPr>
      <w:r>
        <w:rPr>
          <w:rFonts w:ascii="仿宋" w:cs="仿宋" w:eastAsia="仿宋" w:hAnsi="仿宋"/>
          <w:sz w:val="31"/>
          <w:szCs w:val="31"/>
          <w:color w:val="auto"/>
        </w:rPr>
        <w:t>5 试运行阶段，应制定《数据移植方案》，在数据移植完成后，应形成《数据分析报告》《试运行风险预案》《试运行方案》《试运行申请》《试运行记录》《试运行报告》。试运行期间，应进行信息安全风险评估和等级保护测评工作，形成《信息安全风险评估报告》和《等级保护测评报告》。</w:t>
      </w:r>
    </w:p>
    <w:p>
      <w:pPr>
        <w:spacing w:after="0" w:line="237" w:lineRule="exact"/>
        <w:rPr>
          <w:sz w:val="20"/>
          <w:szCs w:val="20"/>
          <w:color w:val="auto"/>
        </w:rPr>
      </w:pPr>
    </w:p>
    <w:p>
      <w:pPr>
        <w:ind w:left="1180"/>
        <w:spacing w:after="0" w:line="366" w:lineRule="exact"/>
        <w:tabs>
          <w:tab w:leader="none" w:pos="1640" w:val="left"/>
        </w:tabs>
        <w:rPr>
          <w:sz w:val="20"/>
          <w:szCs w:val="20"/>
          <w:color w:val="auto"/>
        </w:rPr>
      </w:pPr>
      <w:r>
        <w:rPr>
          <w:rFonts w:ascii="仿宋" w:cs="仿宋" w:eastAsia="仿宋" w:hAnsi="仿宋"/>
          <w:sz w:val="32"/>
          <w:szCs w:val="32"/>
          <w:color w:val="auto"/>
        </w:rPr>
        <w:t>6</w:t>
      </w:r>
      <w:r>
        <w:rPr>
          <w:sz w:val="20"/>
          <w:szCs w:val="20"/>
          <w:color w:val="auto"/>
        </w:rPr>
        <w:tab/>
      </w:r>
      <w:r>
        <w:rPr>
          <w:rFonts w:ascii="仿宋" w:cs="仿宋" w:eastAsia="仿宋" w:hAnsi="仿宋"/>
          <w:sz w:val="31"/>
          <w:szCs w:val="31"/>
          <w:color w:val="auto"/>
        </w:rPr>
        <w:t>上线阶段，应制定《上线保障方案》《应急预案》，</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形成《上线运行报告》。</w:t>
      </w:r>
    </w:p>
    <w:p>
      <w:pPr>
        <w:spacing w:after="0" w:line="273" w:lineRule="exact"/>
        <w:rPr>
          <w:sz w:val="20"/>
          <w:szCs w:val="20"/>
          <w:color w:val="auto"/>
        </w:rPr>
      </w:pPr>
    </w:p>
    <w:p>
      <w:pPr>
        <w:jc w:val="both"/>
        <w:ind w:left="540" w:right="160" w:firstLine="640"/>
        <w:spacing w:after="0" w:line="508" w:lineRule="exact"/>
        <w:rPr>
          <w:sz w:val="20"/>
          <w:szCs w:val="20"/>
          <w:color w:val="auto"/>
        </w:rPr>
      </w:pPr>
      <w:r>
        <w:rPr>
          <w:rFonts w:ascii="仿宋" w:cs="仿宋" w:eastAsia="仿宋" w:hAnsi="仿宋"/>
          <w:sz w:val="32"/>
          <w:szCs w:val="32"/>
          <w:color w:val="auto"/>
        </w:rPr>
        <w:t>7 项目验收阶段，应依据《招标文件》《住房公积金基础数据标准》《住房公积金信息系统技术规范》，检查系统开发设计和系统运行维护等文档，形成验收报告。</w:t>
      </w:r>
    </w:p>
    <w:p>
      <w:pPr>
        <w:spacing w:after="0" w:line="238"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5.4</w:t>
      </w:r>
      <w:r>
        <w:rPr>
          <w:sz w:val="20"/>
          <w:szCs w:val="20"/>
          <w:color w:val="auto"/>
        </w:rPr>
        <w:tab/>
      </w:r>
      <w:r>
        <w:rPr>
          <w:rFonts w:ascii="仿宋" w:cs="仿宋" w:eastAsia="仿宋" w:hAnsi="仿宋"/>
          <w:sz w:val="31"/>
          <w:szCs w:val="31"/>
          <w:color w:val="auto"/>
        </w:rPr>
        <w:t>运行维护阶段</w:t>
      </w:r>
    </w:p>
    <w:p>
      <w:pPr>
        <w:spacing w:after="0" w:line="235" w:lineRule="exact"/>
        <w:rPr>
          <w:sz w:val="20"/>
          <w:szCs w:val="20"/>
          <w:color w:val="auto"/>
        </w:rPr>
      </w:pPr>
    </w:p>
    <w:p>
      <w:pPr>
        <w:ind w:left="1180"/>
        <w:spacing w:after="0" w:line="366" w:lineRule="exact"/>
        <w:tabs>
          <w:tab w:leader="none" w:pos="2280" w:val="left"/>
        </w:tabs>
        <w:rPr>
          <w:sz w:val="20"/>
          <w:szCs w:val="20"/>
          <w:color w:val="auto"/>
        </w:rPr>
      </w:pPr>
      <w:r>
        <w:rPr>
          <w:rFonts w:ascii="仿宋" w:cs="仿宋" w:eastAsia="仿宋" w:hAnsi="仿宋"/>
          <w:sz w:val="32"/>
          <w:szCs w:val="32"/>
          <w:color w:val="auto"/>
        </w:rPr>
        <w:t>5.4.1</w:t>
      </w:r>
      <w:r>
        <w:rPr>
          <w:sz w:val="20"/>
          <w:szCs w:val="20"/>
          <w:color w:val="auto"/>
        </w:rPr>
        <w:tab/>
      </w:r>
      <w:r>
        <w:rPr>
          <w:rFonts w:ascii="仿宋" w:cs="仿宋" w:eastAsia="仿宋" w:hAnsi="仿宋"/>
          <w:sz w:val="31"/>
          <w:szCs w:val="31"/>
          <w:color w:val="auto"/>
        </w:rPr>
        <w:t>公积金中心应建立健全运行维护管理组织体系，</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明确组织结构和组织人员,选择适合的运行维护管理方式。</w:t>
      </w:r>
    </w:p>
    <w:p>
      <w:pPr>
        <w:spacing w:after="0" w:line="273" w:lineRule="exact"/>
        <w:rPr>
          <w:sz w:val="20"/>
          <w:szCs w:val="20"/>
          <w:color w:val="auto"/>
        </w:rPr>
      </w:pPr>
    </w:p>
    <w:p>
      <w:pPr>
        <w:jc w:val="both"/>
        <w:ind w:left="540" w:right="160" w:firstLine="640"/>
        <w:spacing w:after="0" w:line="508" w:lineRule="exact"/>
        <w:rPr>
          <w:sz w:val="20"/>
          <w:szCs w:val="20"/>
          <w:color w:val="auto"/>
        </w:rPr>
      </w:pPr>
      <w:r>
        <w:rPr>
          <w:rFonts w:ascii="仿宋" w:cs="仿宋" w:eastAsia="仿宋" w:hAnsi="仿宋"/>
          <w:sz w:val="32"/>
          <w:szCs w:val="32"/>
          <w:color w:val="auto"/>
        </w:rPr>
        <w:t>1 自主运行维护的，应设置运行维护管理岗位，明确岗位职责，安排专人负责运行维护工作。运行维护人员应经过培训，考试合格，具有运行维护管理专业知识和能力。</w:t>
      </w:r>
    </w:p>
    <w:p>
      <w:pPr>
        <w:spacing w:after="0" w:line="276" w:lineRule="exact"/>
        <w:rPr>
          <w:sz w:val="20"/>
          <w:szCs w:val="20"/>
          <w:color w:val="auto"/>
        </w:rPr>
      </w:pPr>
    </w:p>
    <w:p>
      <w:pPr>
        <w:ind w:left="540" w:firstLine="640"/>
        <w:spacing w:after="0" w:line="463" w:lineRule="exact"/>
        <w:rPr>
          <w:sz w:val="20"/>
          <w:szCs w:val="20"/>
          <w:color w:val="auto"/>
        </w:rPr>
      </w:pPr>
      <w:r>
        <w:rPr>
          <w:rFonts w:ascii="仿宋" w:cs="仿宋" w:eastAsia="仿宋" w:hAnsi="仿宋"/>
          <w:sz w:val="32"/>
          <w:szCs w:val="32"/>
          <w:color w:val="auto"/>
        </w:rPr>
        <w:t>2 运行维护外包的，宜通过招标方式确定运行维护单位，签订运行维护合同，明确各方职责、工作内容和权限。</w:t>
      </w:r>
    </w:p>
    <w:p>
      <w:pPr>
        <w:spacing w:after="0" w:line="387" w:lineRule="exact"/>
        <w:rPr>
          <w:sz w:val="20"/>
          <w:szCs w:val="20"/>
          <w:color w:val="auto"/>
        </w:rPr>
      </w:pPr>
    </w:p>
    <w:p>
      <w:pPr>
        <w:jc w:val="center"/>
        <w:ind w:right="-379"/>
        <w:spacing w:after="0" w:line="274" w:lineRule="exact"/>
        <w:rPr>
          <w:sz w:val="20"/>
          <w:szCs w:val="20"/>
          <w:color w:val="auto"/>
        </w:rPr>
      </w:pPr>
      <w:r>
        <w:rPr>
          <w:rFonts w:ascii="宋体" w:cs="宋体" w:eastAsia="宋体" w:hAnsi="宋体"/>
          <w:sz w:val="24"/>
          <w:szCs w:val="24"/>
          <w:color w:val="auto"/>
        </w:rPr>
        <w:t>- 10 -</w:t>
      </w:r>
    </w:p>
    <w:p>
      <w:pPr>
        <w:sectPr>
          <w:pgSz w:w="11900" w:h="16840" w:orient="portrait"/>
          <w:cols w:equalWidth="0" w:num="1">
            <w:col w:w="9200"/>
          </w:cols>
          <w:pgMar w:left="1440" w:top="1440" w:right="1264" w:bottom="467" w:gutter="0" w:footer="0" w:header="0"/>
        </w:sectPr>
      </w:pPr>
    </w:p>
    <w:bookmarkStart w:id="9" w:name="page10"/>
    <w:bookmarkEnd w:id="9"/>
    <w:p>
      <w:pPr>
        <w:spacing w:after="0" w:line="145" w:lineRule="exact"/>
        <w:rPr>
          <w:sz w:val="20"/>
          <w:szCs w:val="20"/>
          <w:color w:val="auto"/>
        </w:rPr>
      </w:pPr>
    </w:p>
    <w:p>
      <w:pPr>
        <w:ind w:left="1180"/>
        <w:spacing w:after="0" w:line="366" w:lineRule="exact"/>
        <w:tabs>
          <w:tab w:leader="none" w:pos="2280" w:val="left"/>
        </w:tabs>
        <w:rPr>
          <w:sz w:val="20"/>
          <w:szCs w:val="20"/>
          <w:color w:val="auto"/>
        </w:rPr>
      </w:pPr>
      <w:r>
        <w:rPr>
          <w:rFonts w:ascii="仿宋" w:cs="仿宋" w:eastAsia="仿宋" w:hAnsi="仿宋"/>
          <w:sz w:val="32"/>
          <w:szCs w:val="32"/>
          <w:color w:val="auto"/>
        </w:rPr>
        <w:t>5.4.2</w:t>
      </w:r>
      <w:r>
        <w:rPr>
          <w:sz w:val="20"/>
          <w:szCs w:val="20"/>
          <w:color w:val="auto"/>
        </w:rPr>
        <w:tab/>
      </w:r>
      <w:r>
        <w:rPr>
          <w:rFonts w:ascii="仿宋" w:cs="仿宋" w:eastAsia="仿宋" w:hAnsi="仿宋"/>
          <w:sz w:val="31"/>
          <w:szCs w:val="31"/>
          <w:color w:val="auto"/>
        </w:rPr>
        <w:t>运行维护管理制度应包含以下内容：</w:t>
      </w:r>
    </w:p>
    <w:p>
      <w:pPr>
        <w:spacing w:after="0" w:line="273" w:lineRule="exact"/>
        <w:rPr>
          <w:sz w:val="20"/>
          <w:szCs w:val="20"/>
          <w:color w:val="auto"/>
        </w:rPr>
      </w:pPr>
    </w:p>
    <w:p>
      <w:pPr>
        <w:ind w:left="540" w:right="180" w:firstLine="644"/>
        <w:spacing w:after="0" w:line="463" w:lineRule="exact"/>
        <w:tabs>
          <w:tab w:leader="none" w:pos="1659" w:val="left"/>
        </w:tabs>
        <w:numPr>
          <w:ilvl w:val="0"/>
          <w:numId w:val="1"/>
        </w:numPr>
        <w:rPr>
          <w:rFonts w:ascii="仿宋" w:cs="仿宋" w:eastAsia="仿宋" w:hAnsi="仿宋"/>
          <w:sz w:val="32"/>
          <w:szCs w:val="32"/>
          <w:color w:val="auto"/>
        </w:rPr>
      </w:pPr>
      <w:r>
        <w:rPr>
          <w:rFonts w:ascii="仿宋" w:cs="仿宋" w:eastAsia="仿宋" w:hAnsi="仿宋"/>
          <w:sz w:val="32"/>
          <w:szCs w:val="32"/>
          <w:color w:val="auto"/>
        </w:rPr>
        <w:t>建立日常检查制度，明确责任人和检查内容，检查情况应及时记录、签字。</w:t>
      </w:r>
    </w:p>
    <w:p>
      <w:pPr>
        <w:spacing w:after="0" w:line="275" w:lineRule="exact"/>
        <w:rPr>
          <w:sz w:val="20"/>
          <w:szCs w:val="20"/>
          <w:color w:val="auto"/>
        </w:rPr>
      </w:pPr>
    </w:p>
    <w:p>
      <w:pPr>
        <w:ind w:left="540" w:firstLine="644"/>
        <w:spacing w:after="0" w:line="463" w:lineRule="exact"/>
        <w:tabs>
          <w:tab w:leader="none" w:pos="1659" w:val="left"/>
        </w:tabs>
        <w:numPr>
          <w:ilvl w:val="0"/>
          <w:numId w:val="2"/>
        </w:numPr>
        <w:rPr>
          <w:rFonts w:ascii="仿宋" w:cs="仿宋" w:eastAsia="仿宋" w:hAnsi="仿宋"/>
          <w:sz w:val="32"/>
          <w:szCs w:val="32"/>
          <w:color w:val="auto"/>
        </w:rPr>
      </w:pPr>
      <w:r>
        <w:rPr>
          <w:rFonts w:ascii="仿宋" w:cs="仿宋" w:eastAsia="仿宋" w:hAnsi="仿宋"/>
          <w:sz w:val="32"/>
          <w:szCs w:val="32"/>
          <w:color w:val="auto"/>
        </w:rPr>
        <w:t>建立常规巡检制度，每月进行一次系统运行情况检查，每季度进行一次专项检查。</w:t>
      </w:r>
    </w:p>
    <w:p>
      <w:pPr>
        <w:spacing w:after="0" w:line="275" w:lineRule="exact"/>
        <w:rPr>
          <w:sz w:val="20"/>
          <w:szCs w:val="20"/>
          <w:color w:val="auto"/>
        </w:rPr>
      </w:pPr>
    </w:p>
    <w:p>
      <w:pPr>
        <w:ind w:left="540" w:right="180" w:firstLine="644"/>
        <w:spacing w:after="0" w:line="463" w:lineRule="exact"/>
        <w:tabs>
          <w:tab w:leader="none" w:pos="1659" w:val="left"/>
        </w:tabs>
        <w:numPr>
          <w:ilvl w:val="0"/>
          <w:numId w:val="3"/>
        </w:numPr>
        <w:rPr>
          <w:rFonts w:ascii="仿宋" w:cs="仿宋" w:eastAsia="仿宋" w:hAnsi="仿宋"/>
          <w:sz w:val="32"/>
          <w:szCs w:val="32"/>
          <w:color w:val="auto"/>
        </w:rPr>
      </w:pPr>
      <w:r>
        <w:rPr>
          <w:rFonts w:ascii="仿宋" w:cs="仿宋" w:eastAsia="仿宋" w:hAnsi="仿宋"/>
          <w:sz w:val="32"/>
          <w:szCs w:val="32"/>
          <w:color w:val="auto"/>
        </w:rPr>
        <w:t>建立运行维护应急机制，明确应急工作流程，每年至少进行一次应急演练并持续改进。</w:t>
      </w:r>
    </w:p>
    <w:p>
      <w:pPr>
        <w:spacing w:after="0" w:line="275" w:lineRule="exact"/>
        <w:rPr>
          <w:sz w:val="20"/>
          <w:szCs w:val="20"/>
          <w:color w:val="auto"/>
        </w:rPr>
      </w:pPr>
    </w:p>
    <w:p>
      <w:pPr>
        <w:jc w:val="both"/>
        <w:ind w:left="540" w:right="160" w:firstLine="644"/>
        <w:spacing w:after="0" w:line="508" w:lineRule="exact"/>
        <w:tabs>
          <w:tab w:leader="none" w:pos="1659" w:val="left"/>
        </w:tabs>
        <w:numPr>
          <w:ilvl w:val="0"/>
          <w:numId w:val="4"/>
        </w:numPr>
        <w:rPr>
          <w:rFonts w:ascii="仿宋" w:cs="仿宋" w:eastAsia="仿宋" w:hAnsi="仿宋"/>
          <w:sz w:val="32"/>
          <w:szCs w:val="32"/>
          <w:color w:val="auto"/>
        </w:rPr>
      </w:pPr>
      <w:r>
        <w:rPr>
          <w:rFonts w:ascii="仿宋" w:cs="仿宋" w:eastAsia="仿宋" w:hAnsi="仿宋"/>
          <w:sz w:val="32"/>
          <w:szCs w:val="32"/>
          <w:color w:val="auto"/>
        </w:rPr>
        <w:t>建立运行维护监控系统，辅助运行维护管理，编制运行维护手册，明确运行维护工作事项和内容，对系统运行状况进行 7×24 小时监控，及时发现异常并自动告警。</w:t>
      </w:r>
    </w:p>
    <w:p>
      <w:pPr>
        <w:spacing w:after="0" w:line="250" w:lineRule="exact"/>
        <w:rPr>
          <w:sz w:val="20"/>
          <w:szCs w:val="20"/>
          <w:color w:val="auto"/>
        </w:rPr>
      </w:pPr>
    </w:p>
    <w:p>
      <w:pPr>
        <w:ind w:left="1660" w:hanging="476"/>
        <w:spacing w:after="0" w:line="354" w:lineRule="exact"/>
        <w:tabs>
          <w:tab w:leader="none" w:pos="1660" w:val="left"/>
        </w:tabs>
        <w:numPr>
          <w:ilvl w:val="0"/>
          <w:numId w:val="5"/>
        </w:numPr>
        <w:rPr>
          <w:rFonts w:ascii="仿宋" w:cs="仿宋" w:eastAsia="仿宋" w:hAnsi="仿宋"/>
          <w:sz w:val="31"/>
          <w:szCs w:val="31"/>
          <w:color w:val="auto"/>
        </w:rPr>
      </w:pPr>
      <w:r>
        <w:rPr>
          <w:rFonts w:ascii="仿宋" w:cs="仿宋" w:eastAsia="仿宋" w:hAnsi="仿宋"/>
          <w:sz w:val="31"/>
          <w:szCs w:val="31"/>
          <w:color w:val="auto"/>
        </w:rPr>
        <w:t>持续改进运行维护管理制度，及时更新运行维护手册。</w:t>
      </w:r>
    </w:p>
    <w:p>
      <w:pPr>
        <w:spacing w:after="0" w:line="235" w:lineRule="exact"/>
        <w:rPr>
          <w:sz w:val="20"/>
          <w:szCs w:val="20"/>
          <w:color w:val="auto"/>
        </w:rPr>
      </w:pPr>
    </w:p>
    <w:p>
      <w:pPr>
        <w:ind w:left="1180"/>
        <w:spacing w:after="0" w:line="366" w:lineRule="exact"/>
        <w:tabs>
          <w:tab w:leader="none" w:pos="2280" w:val="left"/>
        </w:tabs>
        <w:rPr>
          <w:sz w:val="20"/>
          <w:szCs w:val="20"/>
          <w:color w:val="auto"/>
        </w:rPr>
      </w:pPr>
      <w:r>
        <w:rPr>
          <w:rFonts w:ascii="仿宋" w:cs="仿宋" w:eastAsia="仿宋" w:hAnsi="仿宋"/>
          <w:sz w:val="32"/>
          <w:szCs w:val="32"/>
          <w:color w:val="auto"/>
        </w:rPr>
        <w:t>5.4.3</w:t>
      </w:r>
      <w:r>
        <w:rPr>
          <w:sz w:val="20"/>
          <w:szCs w:val="20"/>
          <w:color w:val="auto"/>
        </w:rPr>
        <w:tab/>
      </w:r>
      <w:r>
        <w:rPr>
          <w:rFonts w:ascii="仿宋" w:cs="仿宋" w:eastAsia="仿宋" w:hAnsi="仿宋"/>
          <w:sz w:val="31"/>
          <w:szCs w:val="31"/>
          <w:color w:val="auto"/>
        </w:rPr>
        <w:t>运行维护资金应列为专项费用。</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379"/>
        <w:spacing w:after="0" w:line="274" w:lineRule="exact"/>
        <w:rPr>
          <w:sz w:val="20"/>
          <w:szCs w:val="20"/>
          <w:color w:val="auto"/>
        </w:rPr>
      </w:pPr>
      <w:r>
        <w:rPr>
          <w:rFonts w:ascii="宋体" w:cs="宋体" w:eastAsia="宋体" w:hAnsi="宋体"/>
          <w:sz w:val="24"/>
          <w:szCs w:val="24"/>
          <w:color w:val="auto"/>
        </w:rPr>
        <w:t>- 11 -</w:t>
      </w:r>
    </w:p>
    <w:p>
      <w:pPr>
        <w:sectPr>
          <w:pgSz w:w="11900" w:h="16840" w:orient="portrait"/>
          <w:cols w:equalWidth="0" w:num="1">
            <w:col w:w="9200"/>
          </w:cols>
          <w:pgMar w:left="1440" w:top="1440" w:right="1264" w:bottom="467" w:gutter="0" w:footer="0" w:header="0"/>
        </w:sectPr>
      </w:pPr>
    </w:p>
    <w:bookmarkStart w:id="10" w:name="page11"/>
    <w:bookmarkEnd w:id="10"/>
    <w:p>
      <w:pPr>
        <w:spacing w:after="0" w:line="98" w:lineRule="exact"/>
        <w:rPr>
          <w:sz w:val="20"/>
          <w:szCs w:val="20"/>
          <w:color w:val="auto"/>
        </w:rPr>
      </w:pPr>
    </w:p>
    <w:p>
      <w:pPr>
        <w:ind w:left="3440"/>
        <w:spacing w:after="0" w:line="411" w:lineRule="exact"/>
        <w:tabs>
          <w:tab w:leader="none" w:pos="3960" w:val="left"/>
        </w:tabs>
        <w:rPr>
          <w:sz w:val="20"/>
          <w:szCs w:val="20"/>
          <w:color w:val="auto"/>
        </w:rPr>
      </w:pPr>
      <w:r>
        <w:rPr>
          <w:rFonts w:ascii="黑体" w:cs="黑体" w:eastAsia="黑体" w:hAnsi="黑体"/>
          <w:sz w:val="36"/>
          <w:szCs w:val="36"/>
          <w:color w:val="auto"/>
        </w:rPr>
        <w:t>6</w:t>
        <w:tab/>
        <w:t>数据资源管理</w:t>
      </w:r>
    </w:p>
    <w:p>
      <w:pPr>
        <w:spacing w:after="0" w:line="275" w:lineRule="exact"/>
        <w:rPr>
          <w:sz w:val="20"/>
          <w:szCs w:val="20"/>
          <w:color w:val="auto"/>
        </w:rPr>
      </w:pPr>
    </w:p>
    <w:p>
      <w:pPr>
        <w:jc w:val="both"/>
        <w:ind w:left="540" w:right="20" w:firstLine="640"/>
        <w:spacing w:after="0" w:line="508" w:lineRule="exact"/>
        <w:rPr>
          <w:sz w:val="20"/>
          <w:szCs w:val="20"/>
          <w:color w:val="auto"/>
        </w:rPr>
      </w:pPr>
      <w:r>
        <w:rPr>
          <w:rFonts w:ascii="仿宋" w:cs="仿宋" w:eastAsia="仿宋" w:hAnsi="仿宋"/>
          <w:sz w:val="32"/>
          <w:szCs w:val="32"/>
          <w:color w:val="auto"/>
        </w:rPr>
        <w:t>6.1 数据资源管理。数据资源是公积金中心最重要的资产之一，公积金中心应做好分类、组织、存储、共享、利用和安全管理工作。</w:t>
      </w:r>
    </w:p>
    <w:p>
      <w:pPr>
        <w:spacing w:after="0" w:line="238"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6.2</w:t>
      </w:r>
      <w:r>
        <w:rPr>
          <w:sz w:val="20"/>
          <w:szCs w:val="20"/>
          <w:color w:val="auto"/>
        </w:rPr>
        <w:tab/>
      </w:r>
      <w:r>
        <w:rPr>
          <w:rFonts w:ascii="仿宋" w:cs="仿宋" w:eastAsia="仿宋" w:hAnsi="仿宋"/>
          <w:sz w:val="31"/>
          <w:szCs w:val="31"/>
          <w:color w:val="auto"/>
        </w:rPr>
        <w:t>住房公积金数据资源分类应包括：</w:t>
      </w:r>
    </w:p>
    <w:p>
      <w:pPr>
        <w:spacing w:after="0" w:line="235" w:lineRule="exact"/>
        <w:rPr>
          <w:sz w:val="20"/>
          <w:szCs w:val="20"/>
          <w:color w:val="auto"/>
        </w:rPr>
      </w:pPr>
    </w:p>
    <w:tbl>
      <w:tblPr>
        <w:tblLayout w:type="fixed"/>
        <w:tblInd w:w="540" w:type="dxa"/>
        <w:tblCellMar>
          <w:top w:w="0" w:type="dxa"/>
          <w:left w:w="0" w:type="dxa"/>
          <w:bottom w:w="0" w:type="dxa"/>
          <w:right w:w="0" w:type="dxa"/>
        </w:tblCellMar>
      </w:tblPr>
      <w:tr>
        <w:trPr>
          <w:trHeight w:val="365"/>
        </w:trPr>
        <w:tc>
          <w:tcPr>
            <w:tcW w:w="1040" w:type="dxa"/>
            <w:vAlign w:val="bottom"/>
          </w:tcPr>
          <w:p>
            <w:pPr>
              <w:jc w:val="right"/>
              <w:ind w:right="80"/>
              <w:spacing w:after="0" w:line="366" w:lineRule="exact"/>
              <w:rPr>
                <w:sz w:val="20"/>
                <w:szCs w:val="20"/>
                <w:color w:val="auto"/>
              </w:rPr>
            </w:pPr>
            <w:r>
              <w:rPr>
                <w:rFonts w:ascii="仿宋" w:cs="仿宋" w:eastAsia="仿宋" w:hAnsi="仿宋"/>
                <w:sz w:val="32"/>
                <w:szCs w:val="32"/>
                <w:color w:val="auto"/>
              </w:rPr>
              <w:t>1</w:t>
            </w:r>
          </w:p>
        </w:tc>
        <w:tc>
          <w:tcPr>
            <w:tcW w:w="7440" w:type="dxa"/>
            <w:vAlign w:val="bottom"/>
          </w:tcPr>
          <w:p>
            <w:pPr>
              <w:ind w:left="80"/>
              <w:spacing w:after="0" w:line="366" w:lineRule="exact"/>
              <w:rPr>
                <w:sz w:val="20"/>
                <w:szCs w:val="20"/>
                <w:color w:val="auto"/>
              </w:rPr>
            </w:pPr>
            <w:r>
              <w:rPr>
                <w:rFonts w:ascii="仿宋" w:cs="仿宋" w:eastAsia="仿宋" w:hAnsi="仿宋"/>
                <w:sz w:val="32"/>
                <w:szCs w:val="32"/>
                <w:color w:val="auto"/>
                <w:w w:val="99"/>
              </w:rPr>
              <w:t>生产交易数据。各类业务活动过程中直接产生的基础</w:t>
            </w:r>
          </w:p>
        </w:tc>
      </w:tr>
      <w:tr>
        <w:trPr>
          <w:trHeight w:val="600"/>
        </w:trPr>
        <w:tc>
          <w:tcPr>
            <w:tcW w:w="1040" w:type="dxa"/>
            <w:vAlign w:val="bottom"/>
          </w:tcPr>
          <w:p>
            <w:pPr>
              <w:spacing w:after="0" w:line="366" w:lineRule="exact"/>
              <w:rPr>
                <w:sz w:val="20"/>
                <w:szCs w:val="20"/>
                <w:color w:val="auto"/>
              </w:rPr>
            </w:pPr>
            <w:r>
              <w:rPr>
                <w:rFonts w:ascii="仿宋" w:cs="仿宋" w:eastAsia="仿宋" w:hAnsi="仿宋"/>
                <w:sz w:val="32"/>
                <w:szCs w:val="32"/>
                <w:color w:val="auto"/>
              </w:rPr>
              <w:t>数据；</w:t>
            </w:r>
          </w:p>
        </w:tc>
        <w:tc>
          <w:tcPr>
            <w:tcW w:w="7440" w:type="dxa"/>
            <w:vAlign w:val="bottom"/>
          </w:tcPr>
          <w:p>
            <w:pPr>
              <w:spacing w:after="0"/>
              <w:rPr>
                <w:sz w:val="24"/>
                <w:szCs w:val="24"/>
                <w:color w:val="auto"/>
              </w:rPr>
            </w:pPr>
          </w:p>
        </w:tc>
      </w:tr>
      <w:tr>
        <w:trPr>
          <w:trHeight w:val="600"/>
        </w:trPr>
        <w:tc>
          <w:tcPr>
            <w:tcW w:w="1040" w:type="dxa"/>
            <w:vAlign w:val="bottom"/>
          </w:tcPr>
          <w:p>
            <w:pPr>
              <w:jc w:val="right"/>
              <w:ind w:right="80"/>
              <w:spacing w:after="0" w:line="366" w:lineRule="exact"/>
              <w:rPr>
                <w:sz w:val="20"/>
                <w:szCs w:val="20"/>
                <w:color w:val="auto"/>
              </w:rPr>
            </w:pPr>
            <w:r>
              <w:rPr>
                <w:rFonts w:ascii="仿宋" w:cs="仿宋" w:eastAsia="仿宋" w:hAnsi="仿宋"/>
                <w:sz w:val="32"/>
                <w:szCs w:val="32"/>
                <w:color w:val="auto"/>
              </w:rPr>
              <w:t>2</w:t>
            </w:r>
          </w:p>
        </w:tc>
        <w:tc>
          <w:tcPr>
            <w:tcW w:w="7440" w:type="dxa"/>
            <w:vAlign w:val="bottom"/>
          </w:tcPr>
          <w:p>
            <w:pPr>
              <w:ind w:left="80"/>
              <w:spacing w:after="0" w:line="366" w:lineRule="exact"/>
              <w:rPr>
                <w:sz w:val="20"/>
                <w:szCs w:val="20"/>
                <w:color w:val="auto"/>
              </w:rPr>
            </w:pPr>
            <w:r>
              <w:rPr>
                <w:rFonts w:ascii="仿宋" w:cs="仿宋" w:eastAsia="仿宋" w:hAnsi="仿宋"/>
                <w:sz w:val="32"/>
                <w:szCs w:val="32"/>
                <w:color w:val="auto"/>
                <w:w w:val="99"/>
              </w:rPr>
              <w:t>综合服务数据。支撑各服务渠道运行的综合服务知识</w:t>
            </w:r>
          </w:p>
        </w:tc>
      </w:tr>
      <w:tr>
        <w:trPr>
          <w:trHeight w:val="600"/>
        </w:trPr>
        <w:tc>
          <w:tcPr>
            <w:tcW w:w="8480" w:type="dxa"/>
            <w:vAlign w:val="bottom"/>
            <w:gridSpan w:val="2"/>
          </w:tcPr>
          <w:p>
            <w:pPr>
              <w:spacing w:after="0" w:line="366" w:lineRule="exact"/>
              <w:rPr>
                <w:sz w:val="20"/>
                <w:szCs w:val="20"/>
                <w:color w:val="auto"/>
              </w:rPr>
            </w:pPr>
            <w:r>
              <w:rPr>
                <w:rFonts w:ascii="仿宋" w:cs="仿宋" w:eastAsia="仿宋" w:hAnsi="仿宋"/>
                <w:sz w:val="32"/>
                <w:szCs w:val="32"/>
                <w:color w:val="auto"/>
              </w:rPr>
              <w:t>库信息，服务过程中产生的信息和日志记录；</w:t>
            </w:r>
          </w:p>
        </w:tc>
      </w:tr>
      <w:tr>
        <w:trPr>
          <w:trHeight w:val="600"/>
        </w:trPr>
        <w:tc>
          <w:tcPr>
            <w:tcW w:w="1040" w:type="dxa"/>
            <w:vAlign w:val="bottom"/>
          </w:tcPr>
          <w:p>
            <w:pPr>
              <w:jc w:val="right"/>
              <w:ind w:right="80"/>
              <w:spacing w:after="0" w:line="366" w:lineRule="exact"/>
              <w:rPr>
                <w:sz w:val="20"/>
                <w:szCs w:val="20"/>
                <w:color w:val="auto"/>
              </w:rPr>
            </w:pPr>
            <w:r>
              <w:rPr>
                <w:rFonts w:ascii="仿宋" w:cs="仿宋" w:eastAsia="仿宋" w:hAnsi="仿宋"/>
                <w:sz w:val="32"/>
                <w:szCs w:val="32"/>
                <w:color w:val="auto"/>
              </w:rPr>
              <w:t>3</w:t>
            </w:r>
          </w:p>
        </w:tc>
        <w:tc>
          <w:tcPr>
            <w:tcW w:w="7440" w:type="dxa"/>
            <w:vAlign w:val="bottom"/>
          </w:tcPr>
          <w:p>
            <w:pPr>
              <w:ind w:left="80"/>
              <w:spacing w:after="0" w:line="366" w:lineRule="exact"/>
              <w:rPr>
                <w:sz w:val="20"/>
                <w:szCs w:val="20"/>
                <w:color w:val="auto"/>
              </w:rPr>
            </w:pPr>
            <w:r>
              <w:rPr>
                <w:rFonts w:ascii="仿宋" w:cs="仿宋" w:eastAsia="仿宋" w:hAnsi="仿宋"/>
                <w:sz w:val="32"/>
                <w:szCs w:val="32"/>
                <w:color w:val="auto"/>
                <w:w w:val="99"/>
              </w:rPr>
              <w:t>内部管理数据。支撑内部管理相关数据信息，包括：</w:t>
            </w:r>
          </w:p>
        </w:tc>
      </w:tr>
    </w:tbl>
    <w:p>
      <w:pPr>
        <w:spacing w:after="0" w:line="273" w:lineRule="exact"/>
        <w:rPr>
          <w:sz w:val="20"/>
          <w:szCs w:val="20"/>
          <w:color w:val="auto"/>
        </w:rPr>
      </w:pPr>
    </w:p>
    <w:p>
      <w:pPr>
        <w:jc w:val="both"/>
        <w:ind w:left="1180" w:right="20" w:hanging="639"/>
        <w:spacing w:after="0" w:line="464" w:lineRule="exact"/>
        <w:rPr>
          <w:sz w:val="20"/>
          <w:szCs w:val="20"/>
          <w:color w:val="auto"/>
        </w:rPr>
      </w:pPr>
      <w:r>
        <w:rPr>
          <w:rFonts w:ascii="仿宋" w:cs="仿宋" w:eastAsia="仿宋" w:hAnsi="仿宋"/>
          <w:sz w:val="30"/>
          <w:szCs w:val="30"/>
          <w:color w:val="auto"/>
        </w:rPr>
        <w:t>政策规范类文件、统计数据、档案管理数据、协同办公数据等。 4 外部共享数据。从外部相关单位引入的并符合公积金</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中心信息标准的各类共享数据；</w:t>
      </w:r>
    </w:p>
    <w:p>
      <w:pPr>
        <w:spacing w:after="0" w:line="273" w:lineRule="exact"/>
        <w:rPr>
          <w:sz w:val="20"/>
          <w:szCs w:val="20"/>
          <w:color w:val="auto"/>
        </w:rPr>
      </w:pPr>
    </w:p>
    <w:p>
      <w:pPr>
        <w:jc w:val="both"/>
        <w:ind w:left="540" w:firstLine="640"/>
        <w:spacing w:after="0" w:line="508" w:lineRule="exact"/>
        <w:rPr>
          <w:sz w:val="20"/>
          <w:szCs w:val="20"/>
          <w:color w:val="auto"/>
        </w:rPr>
      </w:pPr>
      <w:r>
        <w:rPr>
          <w:rFonts w:ascii="仿宋" w:cs="仿宋" w:eastAsia="仿宋" w:hAnsi="仿宋"/>
          <w:sz w:val="32"/>
          <w:szCs w:val="32"/>
          <w:color w:val="auto"/>
        </w:rPr>
        <w:t>5 辅助决策分析数据。根据管理要求按照不同主题整合后的分析数据。分析主题应包括：业务指标分析、财务指标分析、资金风险分析、效益分析等。</w:t>
      </w:r>
    </w:p>
    <w:p>
      <w:pPr>
        <w:spacing w:after="0" w:line="238" w:lineRule="exact"/>
        <w:rPr>
          <w:sz w:val="20"/>
          <w:szCs w:val="20"/>
          <w:color w:val="auto"/>
        </w:rPr>
      </w:pPr>
    </w:p>
    <w:p>
      <w:pPr>
        <w:ind w:left="1180"/>
        <w:spacing w:after="0" w:line="366" w:lineRule="exact"/>
        <w:tabs>
          <w:tab w:leader="none" w:pos="1640" w:val="left"/>
        </w:tabs>
        <w:rPr>
          <w:sz w:val="20"/>
          <w:szCs w:val="20"/>
          <w:color w:val="auto"/>
        </w:rPr>
      </w:pPr>
      <w:r>
        <w:rPr>
          <w:rFonts w:ascii="仿宋" w:cs="仿宋" w:eastAsia="仿宋" w:hAnsi="仿宋"/>
          <w:sz w:val="32"/>
          <w:szCs w:val="32"/>
          <w:color w:val="auto"/>
        </w:rPr>
        <w:t>6</w:t>
      </w:r>
      <w:r>
        <w:rPr>
          <w:sz w:val="20"/>
          <w:szCs w:val="20"/>
          <w:color w:val="auto"/>
        </w:rPr>
        <w:tab/>
      </w:r>
      <w:r>
        <w:rPr>
          <w:rFonts w:ascii="仿宋" w:cs="仿宋" w:eastAsia="仿宋" w:hAnsi="仿宋"/>
          <w:sz w:val="31"/>
          <w:szCs w:val="31"/>
          <w:color w:val="auto"/>
        </w:rPr>
        <w:t>系统安全审计数据。包括但不限于防火墙、路由器等</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网络和网络安全设备日志，操作系统、数据库日志等。</w:t>
      </w:r>
    </w:p>
    <w:p>
      <w:pPr>
        <w:spacing w:after="0" w:line="235" w:lineRule="exact"/>
        <w:rPr>
          <w:sz w:val="20"/>
          <w:szCs w:val="20"/>
          <w:color w:val="auto"/>
        </w:rPr>
      </w:pPr>
    </w:p>
    <w:tbl>
      <w:tblPr>
        <w:tblLayout w:type="fixed"/>
        <w:tblInd w:w="1180" w:type="dxa"/>
        <w:tblCellMar>
          <w:top w:w="0" w:type="dxa"/>
          <w:left w:w="0" w:type="dxa"/>
          <w:bottom w:w="0" w:type="dxa"/>
          <w:right w:w="0" w:type="dxa"/>
        </w:tblCellMar>
      </w:tblPr>
      <w:tr>
        <w:trPr>
          <w:trHeight w:val="365"/>
        </w:trPr>
        <w:tc>
          <w:tcPr>
            <w:tcW w:w="800" w:type="dxa"/>
            <w:vAlign w:val="bottom"/>
          </w:tcPr>
          <w:p>
            <w:pPr>
              <w:spacing w:after="0" w:line="366" w:lineRule="exact"/>
              <w:rPr>
                <w:sz w:val="20"/>
                <w:szCs w:val="20"/>
                <w:color w:val="auto"/>
              </w:rPr>
            </w:pPr>
            <w:r>
              <w:rPr>
                <w:rFonts w:ascii="仿宋" w:cs="仿宋" w:eastAsia="仿宋" w:hAnsi="仿宋"/>
                <w:sz w:val="32"/>
                <w:szCs w:val="32"/>
                <w:color w:val="auto"/>
              </w:rPr>
              <w:t>6.3</w:t>
            </w:r>
          </w:p>
        </w:tc>
        <w:tc>
          <w:tcPr>
            <w:tcW w:w="7040" w:type="dxa"/>
            <w:vAlign w:val="bottom"/>
          </w:tcPr>
          <w:p>
            <w:pPr>
              <w:spacing w:after="0" w:line="366" w:lineRule="exact"/>
              <w:rPr>
                <w:sz w:val="20"/>
                <w:szCs w:val="20"/>
                <w:color w:val="auto"/>
              </w:rPr>
            </w:pPr>
            <w:r>
              <w:rPr>
                <w:rFonts w:ascii="仿宋" w:cs="仿宋" w:eastAsia="仿宋" w:hAnsi="仿宋"/>
                <w:sz w:val="32"/>
                <w:szCs w:val="32"/>
                <w:color w:val="auto"/>
              </w:rPr>
              <w:t>数据资源组织和存储管理</w:t>
            </w:r>
          </w:p>
        </w:tc>
      </w:tr>
      <w:tr>
        <w:trPr>
          <w:trHeight w:val="600"/>
        </w:trPr>
        <w:tc>
          <w:tcPr>
            <w:tcW w:w="800" w:type="dxa"/>
            <w:vAlign w:val="bottom"/>
          </w:tcPr>
          <w:p>
            <w:pPr>
              <w:spacing w:after="0" w:line="366" w:lineRule="exact"/>
              <w:rPr>
                <w:sz w:val="20"/>
                <w:szCs w:val="20"/>
                <w:color w:val="auto"/>
              </w:rPr>
            </w:pPr>
            <w:r>
              <w:rPr>
                <w:rFonts w:ascii="仿宋" w:cs="仿宋" w:eastAsia="仿宋" w:hAnsi="仿宋"/>
                <w:sz w:val="32"/>
                <w:szCs w:val="32"/>
                <w:color w:val="auto"/>
                <w:w w:val="97"/>
              </w:rPr>
              <w:t>6.3.1</w:t>
            </w:r>
          </w:p>
        </w:tc>
        <w:tc>
          <w:tcPr>
            <w:tcW w:w="7040" w:type="dxa"/>
            <w:vAlign w:val="bottom"/>
          </w:tcPr>
          <w:p>
            <w:pPr>
              <w:ind w:left="320"/>
              <w:spacing w:after="0" w:line="366" w:lineRule="exact"/>
              <w:rPr>
                <w:sz w:val="20"/>
                <w:szCs w:val="20"/>
                <w:color w:val="auto"/>
              </w:rPr>
            </w:pPr>
            <w:r>
              <w:rPr>
                <w:rFonts w:ascii="仿宋" w:cs="仿宋" w:eastAsia="仿宋" w:hAnsi="仿宋"/>
                <w:sz w:val="32"/>
                <w:szCs w:val="32"/>
                <w:color w:val="auto"/>
                <w:w w:val="99"/>
              </w:rPr>
              <w:t>应按照《住房公积金基础数据标准》的要求建立</w:t>
            </w:r>
          </w:p>
        </w:tc>
      </w:tr>
    </w:tbl>
    <w:p>
      <w:pPr>
        <w:spacing w:after="0" w:line="273" w:lineRule="exact"/>
        <w:rPr>
          <w:sz w:val="20"/>
          <w:szCs w:val="20"/>
          <w:color w:val="auto"/>
        </w:rPr>
      </w:pPr>
    </w:p>
    <w:p>
      <w:pPr>
        <w:jc w:val="both"/>
        <w:ind w:left="540" w:right="20"/>
        <w:spacing w:after="0" w:line="463" w:lineRule="exact"/>
        <w:rPr>
          <w:sz w:val="20"/>
          <w:szCs w:val="20"/>
          <w:color w:val="auto"/>
        </w:rPr>
      </w:pPr>
      <w:r>
        <w:rPr>
          <w:rFonts w:ascii="仿宋" w:cs="仿宋" w:eastAsia="仿宋" w:hAnsi="仿宋"/>
          <w:sz w:val="32"/>
          <w:szCs w:val="32"/>
          <w:color w:val="auto"/>
        </w:rPr>
        <w:t>生成交易数据库，存储日常生产需要的基础数据和交易过程数据以及相关日志记录。</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4440"/>
        <w:spacing w:after="0" w:line="274" w:lineRule="exact"/>
        <w:rPr>
          <w:sz w:val="20"/>
          <w:szCs w:val="20"/>
          <w:color w:val="auto"/>
        </w:rPr>
      </w:pPr>
      <w:r>
        <w:rPr>
          <w:rFonts w:ascii="宋体" w:cs="宋体" w:eastAsia="宋体" w:hAnsi="宋体"/>
          <w:sz w:val="24"/>
          <w:szCs w:val="24"/>
          <w:color w:val="auto"/>
        </w:rPr>
        <w:t>- 12 -</w:t>
      </w:r>
    </w:p>
    <w:p>
      <w:pPr>
        <w:sectPr>
          <w:pgSz w:w="11900" w:h="16840" w:orient="portrait"/>
          <w:cols w:equalWidth="0" w:num="1">
            <w:col w:w="9060"/>
          </w:cols>
          <w:pgMar w:left="1440" w:top="1440" w:right="1404" w:bottom="467" w:gutter="0" w:footer="0" w:header="0"/>
        </w:sectPr>
      </w:pPr>
    </w:p>
    <w:bookmarkStart w:id="11" w:name="page12"/>
    <w:bookmarkEnd w:id="11"/>
    <w:p>
      <w:pPr>
        <w:spacing w:after="0" w:line="145" w:lineRule="exact"/>
        <w:rPr>
          <w:sz w:val="20"/>
          <w:szCs w:val="20"/>
          <w:color w:val="auto"/>
        </w:rPr>
      </w:pPr>
    </w:p>
    <w:tbl>
      <w:tblPr>
        <w:tblLayout w:type="fixed"/>
        <w:tblInd w:w="540" w:type="dxa"/>
        <w:tblCellMar>
          <w:top w:w="0" w:type="dxa"/>
          <w:left w:w="0" w:type="dxa"/>
          <w:bottom w:w="0" w:type="dxa"/>
          <w:right w:w="0" w:type="dxa"/>
        </w:tblCellMar>
      </w:tblPr>
      <w:tr>
        <w:trPr>
          <w:trHeight w:val="365"/>
        </w:trPr>
        <w:tc>
          <w:tcPr>
            <w:tcW w:w="1600" w:type="dxa"/>
            <w:vAlign w:val="bottom"/>
          </w:tcPr>
          <w:p>
            <w:pPr>
              <w:ind w:left="640"/>
              <w:spacing w:after="0" w:line="366" w:lineRule="exact"/>
              <w:rPr>
                <w:sz w:val="20"/>
                <w:szCs w:val="20"/>
                <w:color w:val="auto"/>
              </w:rPr>
            </w:pPr>
            <w:r>
              <w:rPr>
                <w:rFonts w:ascii="仿宋" w:cs="仿宋" w:eastAsia="仿宋" w:hAnsi="仿宋"/>
                <w:sz w:val="32"/>
                <w:szCs w:val="32"/>
                <w:color w:val="auto"/>
              </w:rPr>
              <w:t>6.3.2</w:t>
            </w:r>
          </w:p>
        </w:tc>
        <w:tc>
          <w:tcPr>
            <w:tcW w:w="7060" w:type="dxa"/>
            <w:vAlign w:val="bottom"/>
          </w:tcPr>
          <w:p>
            <w:pPr>
              <w:ind w:left="160"/>
              <w:spacing w:after="0" w:line="366" w:lineRule="exact"/>
              <w:rPr>
                <w:sz w:val="20"/>
                <w:szCs w:val="20"/>
                <w:color w:val="auto"/>
              </w:rPr>
            </w:pPr>
            <w:r>
              <w:rPr>
                <w:rFonts w:ascii="仿宋" w:cs="仿宋" w:eastAsia="仿宋" w:hAnsi="仿宋"/>
                <w:sz w:val="32"/>
                <w:szCs w:val="32"/>
                <w:color w:val="auto"/>
              </w:rPr>
              <w:t>应建立综合服务数据库，存储综合服务知识库、</w:t>
            </w:r>
          </w:p>
        </w:tc>
      </w:tr>
      <w:tr>
        <w:trPr>
          <w:trHeight w:val="600"/>
        </w:trPr>
        <w:tc>
          <w:tcPr>
            <w:tcW w:w="8660" w:type="dxa"/>
            <w:vAlign w:val="bottom"/>
            <w:gridSpan w:val="2"/>
          </w:tcPr>
          <w:p>
            <w:pPr>
              <w:spacing w:after="0" w:line="366" w:lineRule="exact"/>
              <w:rPr>
                <w:sz w:val="20"/>
                <w:szCs w:val="20"/>
                <w:color w:val="auto"/>
              </w:rPr>
            </w:pPr>
            <w:r>
              <w:rPr>
                <w:rFonts w:ascii="仿宋" w:cs="仿宋" w:eastAsia="仿宋" w:hAnsi="仿宋"/>
                <w:sz w:val="32"/>
                <w:szCs w:val="32"/>
                <w:color w:val="auto"/>
              </w:rPr>
              <w:t>各项服务信息与日志记录。</w:t>
            </w:r>
          </w:p>
        </w:tc>
      </w:tr>
      <w:tr>
        <w:trPr>
          <w:trHeight w:val="600"/>
        </w:trPr>
        <w:tc>
          <w:tcPr>
            <w:tcW w:w="1600" w:type="dxa"/>
            <w:vAlign w:val="bottom"/>
          </w:tcPr>
          <w:p>
            <w:pPr>
              <w:ind w:left="640"/>
              <w:spacing w:after="0" w:line="366" w:lineRule="exact"/>
              <w:rPr>
                <w:sz w:val="20"/>
                <w:szCs w:val="20"/>
                <w:color w:val="auto"/>
              </w:rPr>
            </w:pPr>
            <w:r>
              <w:rPr>
                <w:rFonts w:ascii="仿宋" w:cs="仿宋" w:eastAsia="仿宋" w:hAnsi="仿宋"/>
                <w:sz w:val="32"/>
                <w:szCs w:val="32"/>
                <w:color w:val="auto"/>
              </w:rPr>
              <w:t>6.3.3</w:t>
            </w:r>
          </w:p>
        </w:tc>
        <w:tc>
          <w:tcPr>
            <w:tcW w:w="7060" w:type="dxa"/>
            <w:vAlign w:val="bottom"/>
          </w:tcPr>
          <w:p>
            <w:pPr>
              <w:ind w:left="160"/>
              <w:spacing w:after="0" w:line="366" w:lineRule="exact"/>
              <w:rPr>
                <w:sz w:val="20"/>
                <w:szCs w:val="20"/>
                <w:color w:val="auto"/>
              </w:rPr>
            </w:pPr>
            <w:r>
              <w:rPr>
                <w:rFonts w:ascii="仿宋" w:cs="仿宋" w:eastAsia="仿宋" w:hAnsi="仿宋"/>
                <w:sz w:val="32"/>
                <w:szCs w:val="32"/>
                <w:color w:val="auto"/>
                <w:w w:val="97"/>
              </w:rPr>
              <w:t>应建立管理数据库，存放内部管理相关数据信息。</w:t>
            </w:r>
          </w:p>
        </w:tc>
      </w:tr>
      <w:tr>
        <w:trPr>
          <w:trHeight w:val="600"/>
        </w:trPr>
        <w:tc>
          <w:tcPr>
            <w:tcW w:w="1600" w:type="dxa"/>
            <w:vAlign w:val="bottom"/>
          </w:tcPr>
          <w:p>
            <w:pPr>
              <w:ind w:left="640"/>
              <w:spacing w:after="0" w:line="366" w:lineRule="exact"/>
              <w:rPr>
                <w:sz w:val="20"/>
                <w:szCs w:val="20"/>
                <w:color w:val="auto"/>
              </w:rPr>
            </w:pPr>
            <w:r>
              <w:rPr>
                <w:rFonts w:ascii="仿宋" w:cs="仿宋" w:eastAsia="仿宋" w:hAnsi="仿宋"/>
                <w:sz w:val="32"/>
                <w:szCs w:val="32"/>
                <w:color w:val="auto"/>
              </w:rPr>
              <w:t>6.3.4</w:t>
            </w:r>
          </w:p>
        </w:tc>
        <w:tc>
          <w:tcPr>
            <w:tcW w:w="7060" w:type="dxa"/>
            <w:vAlign w:val="bottom"/>
          </w:tcPr>
          <w:p>
            <w:pPr>
              <w:ind w:left="160"/>
              <w:spacing w:after="0" w:line="366" w:lineRule="exact"/>
              <w:rPr>
                <w:sz w:val="20"/>
                <w:szCs w:val="20"/>
                <w:color w:val="auto"/>
              </w:rPr>
            </w:pPr>
            <w:r>
              <w:rPr>
                <w:rFonts w:ascii="仿宋" w:cs="仿宋" w:eastAsia="仿宋" w:hAnsi="仿宋"/>
                <w:sz w:val="32"/>
                <w:szCs w:val="32"/>
                <w:color w:val="auto"/>
              </w:rPr>
              <w:t>可建立历史生产交易数据库和查询数据库，以提</w:t>
            </w:r>
          </w:p>
        </w:tc>
      </w:tr>
      <w:tr>
        <w:trPr>
          <w:trHeight w:val="600"/>
        </w:trPr>
        <w:tc>
          <w:tcPr>
            <w:tcW w:w="8660" w:type="dxa"/>
            <w:vAlign w:val="bottom"/>
            <w:gridSpan w:val="2"/>
          </w:tcPr>
          <w:p>
            <w:pPr>
              <w:spacing w:after="0" w:line="366" w:lineRule="exact"/>
              <w:rPr>
                <w:sz w:val="20"/>
                <w:szCs w:val="20"/>
                <w:color w:val="auto"/>
              </w:rPr>
            </w:pPr>
            <w:r>
              <w:rPr>
                <w:rFonts w:ascii="仿宋" w:cs="仿宋" w:eastAsia="仿宋" w:hAnsi="仿宋"/>
                <w:sz w:val="32"/>
                <w:szCs w:val="32"/>
                <w:color w:val="auto"/>
              </w:rPr>
              <w:t>高生产运行效率。</w:t>
            </w:r>
          </w:p>
        </w:tc>
      </w:tr>
      <w:tr>
        <w:trPr>
          <w:trHeight w:val="600"/>
        </w:trPr>
        <w:tc>
          <w:tcPr>
            <w:tcW w:w="1600" w:type="dxa"/>
            <w:vAlign w:val="bottom"/>
          </w:tcPr>
          <w:p>
            <w:pPr>
              <w:ind w:left="640"/>
              <w:spacing w:after="0" w:line="366" w:lineRule="exact"/>
              <w:rPr>
                <w:sz w:val="20"/>
                <w:szCs w:val="20"/>
                <w:color w:val="auto"/>
              </w:rPr>
            </w:pPr>
            <w:r>
              <w:rPr>
                <w:rFonts w:ascii="仿宋" w:cs="仿宋" w:eastAsia="仿宋" w:hAnsi="仿宋"/>
                <w:sz w:val="32"/>
                <w:szCs w:val="32"/>
                <w:color w:val="auto"/>
              </w:rPr>
              <w:t>6.3.5</w:t>
            </w:r>
          </w:p>
        </w:tc>
        <w:tc>
          <w:tcPr>
            <w:tcW w:w="7060" w:type="dxa"/>
            <w:vAlign w:val="bottom"/>
          </w:tcPr>
          <w:p>
            <w:pPr>
              <w:ind w:left="160"/>
              <w:spacing w:after="0" w:line="366" w:lineRule="exact"/>
              <w:rPr>
                <w:sz w:val="20"/>
                <w:szCs w:val="20"/>
                <w:color w:val="auto"/>
              </w:rPr>
            </w:pPr>
            <w:r>
              <w:rPr>
                <w:rFonts w:ascii="仿宋" w:cs="仿宋" w:eastAsia="仿宋" w:hAnsi="仿宋"/>
                <w:sz w:val="32"/>
                <w:szCs w:val="32"/>
                <w:color w:val="auto"/>
              </w:rPr>
              <w:t>可建立数据仓库辅助公积金中心运营决策。</w:t>
            </w:r>
          </w:p>
        </w:tc>
      </w:tr>
      <w:tr>
        <w:trPr>
          <w:trHeight w:val="600"/>
        </w:trPr>
        <w:tc>
          <w:tcPr>
            <w:tcW w:w="8660" w:type="dxa"/>
            <w:vAlign w:val="bottom"/>
            <w:gridSpan w:val="2"/>
          </w:tcPr>
          <w:p>
            <w:pPr>
              <w:ind w:left="640"/>
              <w:spacing w:after="0" w:line="366" w:lineRule="exact"/>
              <w:rPr>
                <w:sz w:val="20"/>
                <w:szCs w:val="20"/>
                <w:color w:val="auto"/>
              </w:rPr>
            </w:pPr>
            <w:r>
              <w:rPr>
                <w:rFonts w:ascii="仿宋" w:cs="仿宋" w:eastAsia="仿宋" w:hAnsi="仿宋"/>
                <w:sz w:val="32"/>
                <w:szCs w:val="32"/>
                <w:color w:val="auto"/>
              </w:rPr>
              <w:t>6.4  住房公积金数据资源共享和利用</w:t>
            </w:r>
          </w:p>
        </w:tc>
      </w:tr>
      <w:tr>
        <w:trPr>
          <w:trHeight w:val="600"/>
        </w:trPr>
        <w:tc>
          <w:tcPr>
            <w:tcW w:w="1600" w:type="dxa"/>
            <w:vAlign w:val="bottom"/>
          </w:tcPr>
          <w:p>
            <w:pPr>
              <w:ind w:left="640"/>
              <w:spacing w:after="0" w:line="366" w:lineRule="exact"/>
              <w:rPr>
                <w:sz w:val="20"/>
                <w:szCs w:val="20"/>
                <w:color w:val="auto"/>
              </w:rPr>
            </w:pPr>
            <w:r>
              <w:rPr>
                <w:rFonts w:ascii="仿宋" w:cs="仿宋" w:eastAsia="仿宋" w:hAnsi="仿宋"/>
                <w:sz w:val="32"/>
                <w:szCs w:val="32"/>
                <w:color w:val="auto"/>
              </w:rPr>
              <w:t>6.4.1</w:t>
            </w:r>
          </w:p>
        </w:tc>
        <w:tc>
          <w:tcPr>
            <w:tcW w:w="7060" w:type="dxa"/>
            <w:vAlign w:val="bottom"/>
          </w:tcPr>
          <w:p>
            <w:pPr>
              <w:ind w:left="160"/>
              <w:spacing w:after="0" w:line="366" w:lineRule="exact"/>
              <w:rPr>
                <w:sz w:val="20"/>
                <w:szCs w:val="20"/>
                <w:color w:val="auto"/>
              </w:rPr>
            </w:pPr>
            <w:r>
              <w:rPr>
                <w:rFonts w:ascii="仿宋" w:cs="仿宋" w:eastAsia="仿宋" w:hAnsi="仿宋"/>
                <w:sz w:val="32"/>
                <w:szCs w:val="32"/>
                <w:color w:val="auto"/>
              </w:rPr>
              <w:t>应与房产交易、产权产籍、质量检验、工商、税</w:t>
            </w:r>
          </w:p>
        </w:tc>
      </w:tr>
    </w:tbl>
    <w:p>
      <w:pPr>
        <w:spacing w:after="0" w:line="273" w:lineRule="exact"/>
        <w:rPr>
          <w:sz w:val="20"/>
          <w:szCs w:val="20"/>
          <w:color w:val="auto"/>
        </w:rPr>
      </w:pPr>
    </w:p>
    <w:p>
      <w:pPr>
        <w:jc w:val="both"/>
        <w:ind w:left="540" w:right="160"/>
        <w:spacing w:after="0" w:line="463" w:lineRule="exact"/>
        <w:rPr>
          <w:sz w:val="20"/>
          <w:szCs w:val="20"/>
          <w:color w:val="auto"/>
        </w:rPr>
      </w:pPr>
      <w:r>
        <w:rPr>
          <w:rFonts w:ascii="仿宋" w:cs="仿宋" w:eastAsia="仿宋" w:hAnsi="仿宋"/>
          <w:sz w:val="32"/>
          <w:szCs w:val="32"/>
          <w:color w:val="auto"/>
        </w:rPr>
        <w:t>务、社保、公安、民政等部门进行数据信息资源共享，提高业务办理效率。</w:t>
      </w:r>
    </w:p>
    <w:p>
      <w:pPr>
        <w:spacing w:after="0" w:line="275" w:lineRule="exact"/>
        <w:rPr>
          <w:sz w:val="20"/>
          <w:szCs w:val="20"/>
          <w:color w:val="auto"/>
        </w:rPr>
      </w:pPr>
    </w:p>
    <w:p>
      <w:pPr>
        <w:jc w:val="both"/>
        <w:ind w:left="540" w:right="140" w:firstLine="640"/>
        <w:spacing w:after="0" w:line="531" w:lineRule="exact"/>
        <w:rPr>
          <w:sz w:val="20"/>
          <w:szCs w:val="20"/>
          <w:color w:val="auto"/>
        </w:rPr>
      </w:pPr>
      <w:r>
        <w:rPr>
          <w:rFonts w:ascii="仿宋" w:cs="仿宋" w:eastAsia="仿宋" w:hAnsi="仿宋"/>
          <w:sz w:val="32"/>
          <w:szCs w:val="32"/>
          <w:color w:val="auto"/>
        </w:rPr>
        <w:t>6.4.2 应以公积金中心的数据资源为基础，汇聚从外联单位采集的数据信息，分析各项服务记录和行为信息，综合应用数据处理、关联、挖掘等技术，辅助支持科学决策，提升运行、服务、管理水平。</w:t>
      </w:r>
    </w:p>
    <w:p>
      <w:pPr>
        <w:spacing w:after="0" w:line="239" w:lineRule="exact"/>
        <w:rPr>
          <w:sz w:val="20"/>
          <w:szCs w:val="20"/>
          <w:color w:val="auto"/>
        </w:rPr>
      </w:pPr>
    </w:p>
    <w:tbl>
      <w:tblPr>
        <w:tblLayout w:type="fixed"/>
        <w:tblInd w:w="1180" w:type="dxa"/>
        <w:tblCellMar>
          <w:top w:w="0" w:type="dxa"/>
          <w:left w:w="0" w:type="dxa"/>
          <w:bottom w:w="0" w:type="dxa"/>
          <w:right w:w="0" w:type="dxa"/>
        </w:tblCellMar>
      </w:tblPr>
      <w:tr>
        <w:trPr>
          <w:trHeight w:val="365"/>
        </w:trPr>
        <w:tc>
          <w:tcPr>
            <w:tcW w:w="480" w:type="dxa"/>
            <w:vAlign w:val="bottom"/>
          </w:tcPr>
          <w:p>
            <w:pPr>
              <w:spacing w:after="0" w:line="366" w:lineRule="exact"/>
              <w:rPr>
                <w:sz w:val="20"/>
                <w:szCs w:val="20"/>
                <w:color w:val="auto"/>
              </w:rPr>
            </w:pPr>
            <w:r>
              <w:rPr>
                <w:rFonts w:ascii="仿宋" w:cs="仿宋" w:eastAsia="仿宋" w:hAnsi="仿宋"/>
                <w:sz w:val="32"/>
                <w:szCs w:val="32"/>
                <w:color w:val="auto"/>
                <w:w w:val="95"/>
              </w:rPr>
              <w:t>6.5</w:t>
            </w:r>
          </w:p>
        </w:tc>
        <w:tc>
          <w:tcPr>
            <w:tcW w:w="7360" w:type="dxa"/>
            <w:vAlign w:val="bottom"/>
          </w:tcPr>
          <w:p>
            <w:pPr>
              <w:ind w:left="320"/>
              <w:spacing w:after="0" w:line="366" w:lineRule="exact"/>
              <w:rPr>
                <w:sz w:val="20"/>
                <w:szCs w:val="20"/>
                <w:color w:val="auto"/>
              </w:rPr>
            </w:pPr>
            <w:r>
              <w:rPr>
                <w:rFonts w:ascii="仿宋" w:cs="仿宋" w:eastAsia="仿宋" w:hAnsi="仿宋"/>
                <w:sz w:val="32"/>
                <w:szCs w:val="32"/>
                <w:color w:val="auto"/>
              </w:rPr>
              <w:t>数据资源安全要求。</w:t>
            </w:r>
          </w:p>
        </w:tc>
      </w:tr>
      <w:tr>
        <w:trPr>
          <w:trHeight w:val="600"/>
        </w:trPr>
        <w:tc>
          <w:tcPr>
            <w:tcW w:w="7840" w:type="dxa"/>
            <w:vAlign w:val="bottom"/>
            <w:gridSpan w:val="2"/>
          </w:tcPr>
          <w:p>
            <w:pPr>
              <w:spacing w:after="0" w:line="366" w:lineRule="exact"/>
              <w:rPr>
                <w:sz w:val="20"/>
                <w:szCs w:val="20"/>
                <w:color w:val="auto"/>
              </w:rPr>
            </w:pPr>
            <w:r>
              <w:rPr>
                <w:rFonts w:ascii="仿宋" w:cs="仿宋" w:eastAsia="仿宋" w:hAnsi="仿宋"/>
                <w:sz w:val="32"/>
                <w:szCs w:val="32"/>
                <w:color w:val="auto"/>
                <w:w w:val="99"/>
              </w:rPr>
              <w:t>6.5.1  应制定数据安全管理制度，至少包含以下内容：</w:t>
            </w:r>
          </w:p>
        </w:tc>
      </w:tr>
      <w:tr>
        <w:trPr>
          <w:trHeight w:val="600"/>
        </w:trPr>
        <w:tc>
          <w:tcPr>
            <w:tcW w:w="480" w:type="dxa"/>
            <w:vAlign w:val="bottom"/>
          </w:tcPr>
          <w:p>
            <w:pPr>
              <w:spacing w:after="0" w:line="366" w:lineRule="exact"/>
              <w:rPr>
                <w:sz w:val="20"/>
                <w:szCs w:val="20"/>
                <w:color w:val="auto"/>
              </w:rPr>
            </w:pPr>
            <w:r>
              <w:rPr>
                <w:rFonts w:ascii="仿宋" w:cs="仿宋" w:eastAsia="仿宋" w:hAnsi="仿宋"/>
                <w:sz w:val="32"/>
                <w:szCs w:val="32"/>
                <w:color w:val="auto"/>
              </w:rPr>
              <w:t>1</w:t>
            </w:r>
          </w:p>
        </w:tc>
        <w:tc>
          <w:tcPr>
            <w:tcW w:w="7360" w:type="dxa"/>
            <w:vAlign w:val="bottom"/>
          </w:tcPr>
          <w:p>
            <w:pPr>
              <w:spacing w:after="0" w:line="366" w:lineRule="exact"/>
              <w:rPr>
                <w:sz w:val="20"/>
                <w:szCs w:val="20"/>
                <w:color w:val="auto"/>
              </w:rPr>
            </w:pPr>
            <w:r>
              <w:rPr>
                <w:rFonts w:ascii="仿宋" w:cs="仿宋" w:eastAsia="仿宋" w:hAnsi="仿宋"/>
                <w:sz w:val="32"/>
                <w:szCs w:val="32"/>
                <w:color w:val="auto"/>
              </w:rPr>
              <w:t>明确数据库管理员职责。</w:t>
            </w:r>
          </w:p>
        </w:tc>
      </w:tr>
      <w:tr>
        <w:trPr>
          <w:trHeight w:val="600"/>
        </w:trPr>
        <w:tc>
          <w:tcPr>
            <w:tcW w:w="480" w:type="dxa"/>
            <w:vAlign w:val="bottom"/>
          </w:tcPr>
          <w:p>
            <w:pPr>
              <w:spacing w:after="0" w:line="366" w:lineRule="exact"/>
              <w:rPr>
                <w:sz w:val="20"/>
                <w:szCs w:val="20"/>
                <w:color w:val="auto"/>
              </w:rPr>
            </w:pPr>
            <w:r>
              <w:rPr>
                <w:rFonts w:ascii="仿宋" w:cs="仿宋" w:eastAsia="仿宋" w:hAnsi="仿宋"/>
                <w:sz w:val="32"/>
                <w:szCs w:val="32"/>
                <w:color w:val="auto"/>
              </w:rPr>
              <w:t>2</w:t>
            </w:r>
          </w:p>
        </w:tc>
        <w:tc>
          <w:tcPr>
            <w:tcW w:w="7360" w:type="dxa"/>
            <w:vAlign w:val="bottom"/>
          </w:tcPr>
          <w:p>
            <w:pPr>
              <w:spacing w:after="0" w:line="366" w:lineRule="exact"/>
              <w:rPr>
                <w:sz w:val="20"/>
                <w:szCs w:val="20"/>
                <w:color w:val="auto"/>
              </w:rPr>
            </w:pPr>
            <w:r>
              <w:rPr>
                <w:rFonts w:ascii="仿宋" w:cs="仿宋" w:eastAsia="仿宋" w:hAnsi="仿宋"/>
                <w:sz w:val="32"/>
                <w:szCs w:val="32"/>
                <w:color w:val="auto"/>
              </w:rPr>
              <w:t>严禁在运行维护过程中直接修改数据信息。</w:t>
            </w:r>
          </w:p>
        </w:tc>
      </w:tr>
      <w:tr>
        <w:trPr>
          <w:trHeight w:val="600"/>
        </w:trPr>
        <w:tc>
          <w:tcPr>
            <w:tcW w:w="480" w:type="dxa"/>
            <w:vAlign w:val="bottom"/>
          </w:tcPr>
          <w:p>
            <w:pPr>
              <w:spacing w:after="0" w:line="366" w:lineRule="exact"/>
              <w:rPr>
                <w:sz w:val="20"/>
                <w:szCs w:val="20"/>
                <w:color w:val="auto"/>
              </w:rPr>
            </w:pPr>
            <w:r>
              <w:rPr>
                <w:rFonts w:ascii="仿宋" w:cs="仿宋" w:eastAsia="仿宋" w:hAnsi="仿宋"/>
                <w:sz w:val="32"/>
                <w:szCs w:val="32"/>
                <w:color w:val="auto"/>
              </w:rPr>
              <w:t>3</w:t>
            </w:r>
          </w:p>
        </w:tc>
        <w:tc>
          <w:tcPr>
            <w:tcW w:w="7360" w:type="dxa"/>
            <w:vAlign w:val="bottom"/>
          </w:tcPr>
          <w:p>
            <w:pPr>
              <w:spacing w:after="0" w:line="366" w:lineRule="exact"/>
              <w:rPr>
                <w:sz w:val="20"/>
                <w:szCs w:val="20"/>
                <w:color w:val="auto"/>
              </w:rPr>
            </w:pPr>
            <w:r>
              <w:rPr>
                <w:rFonts w:ascii="仿宋" w:cs="仿宋" w:eastAsia="仿宋" w:hAnsi="仿宋"/>
                <w:sz w:val="32"/>
                <w:szCs w:val="32"/>
                <w:color w:val="auto"/>
              </w:rPr>
              <w:t>严格控制数据库访问权限、定期更换密码。</w:t>
            </w:r>
          </w:p>
        </w:tc>
      </w:tr>
      <w:tr>
        <w:trPr>
          <w:trHeight w:val="600"/>
        </w:trPr>
        <w:tc>
          <w:tcPr>
            <w:tcW w:w="480" w:type="dxa"/>
            <w:vAlign w:val="bottom"/>
          </w:tcPr>
          <w:p>
            <w:pPr>
              <w:spacing w:after="0" w:line="366" w:lineRule="exact"/>
              <w:rPr>
                <w:sz w:val="20"/>
                <w:szCs w:val="20"/>
                <w:color w:val="auto"/>
              </w:rPr>
            </w:pPr>
            <w:r>
              <w:rPr>
                <w:rFonts w:ascii="仿宋" w:cs="仿宋" w:eastAsia="仿宋" w:hAnsi="仿宋"/>
                <w:sz w:val="32"/>
                <w:szCs w:val="32"/>
                <w:color w:val="auto"/>
              </w:rPr>
              <w:t>4</w:t>
            </w:r>
          </w:p>
        </w:tc>
        <w:tc>
          <w:tcPr>
            <w:tcW w:w="7360" w:type="dxa"/>
            <w:vAlign w:val="bottom"/>
          </w:tcPr>
          <w:p>
            <w:pPr>
              <w:spacing w:after="0" w:line="366" w:lineRule="exact"/>
              <w:rPr>
                <w:sz w:val="20"/>
                <w:szCs w:val="20"/>
                <w:color w:val="auto"/>
              </w:rPr>
            </w:pPr>
            <w:r>
              <w:rPr>
                <w:rFonts w:ascii="仿宋" w:cs="仿宋" w:eastAsia="仿宋" w:hAnsi="仿宋"/>
                <w:sz w:val="32"/>
                <w:szCs w:val="32"/>
                <w:color w:val="auto"/>
              </w:rPr>
              <w:t>加强日常数据备份管理、建立异地容灾管理制度。</w:t>
            </w:r>
          </w:p>
        </w:tc>
      </w:tr>
    </w:tbl>
    <w:p>
      <w:pPr>
        <w:spacing w:after="0" w:line="273" w:lineRule="exact"/>
        <w:rPr>
          <w:sz w:val="20"/>
          <w:szCs w:val="20"/>
          <w:color w:val="auto"/>
        </w:rPr>
      </w:pPr>
    </w:p>
    <w:p>
      <w:pPr>
        <w:jc w:val="both"/>
        <w:ind w:left="540" w:right="180" w:firstLine="640"/>
        <w:spacing w:after="0" w:line="463" w:lineRule="exact"/>
        <w:rPr>
          <w:sz w:val="20"/>
          <w:szCs w:val="20"/>
          <w:color w:val="auto"/>
        </w:rPr>
      </w:pPr>
      <w:r>
        <w:rPr>
          <w:rFonts w:ascii="仿宋" w:cs="仿宋" w:eastAsia="仿宋" w:hAnsi="仿宋"/>
          <w:sz w:val="32"/>
          <w:szCs w:val="32"/>
          <w:color w:val="auto"/>
        </w:rPr>
        <w:t>6.5.2 公积金中心在为外部单位、外部系统提供涉及个人隐私的数据资源信息前，必须进行脱敏处理。</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ind w:right="-399"/>
        <w:spacing w:after="0" w:line="274" w:lineRule="exact"/>
        <w:rPr>
          <w:sz w:val="20"/>
          <w:szCs w:val="20"/>
          <w:color w:val="auto"/>
        </w:rPr>
      </w:pPr>
      <w:r>
        <w:rPr>
          <w:rFonts w:ascii="宋体" w:cs="宋体" w:eastAsia="宋体" w:hAnsi="宋体"/>
          <w:sz w:val="24"/>
          <w:szCs w:val="24"/>
          <w:color w:val="auto"/>
        </w:rPr>
        <w:t>- 13 -</w:t>
      </w:r>
    </w:p>
    <w:p>
      <w:pPr>
        <w:sectPr>
          <w:pgSz w:w="11900" w:h="16840" w:orient="portrait"/>
          <w:cols w:equalWidth="0" w:num="1">
            <w:col w:w="9200"/>
          </w:cols>
          <w:pgMar w:left="1440" w:top="1440" w:right="1264" w:bottom="467" w:gutter="0" w:footer="0" w:header="0"/>
        </w:sectPr>
      </w:pPr>
    </w:p>
    <w:bookmarkStart w:id="12" w:name="page13"/>
    <w:bookmarkEnd w:id="12"/>
    <w:p>
      <w:pPr>
        <w:spacing w:after="0" w:line="145" w:lineRule="exact"/>
        <w:rPr>
          <w:sz w:val="20"/>
          <w:szCs w:val="20"/>
          <w:color w:val="auto"/>
        </w:rPr>
      </w:pPr>
    </w:p>
    <w:p>
      <w:pPr>
        <w:ind w:left="1180"/>
        <w:spacing w:after="0" w:line="366" w:lineRule="exact"/>
        <w:tabs>
          <w:tab w:leader="none" w:pos="2280" w:val="left"/>
        </w:tabs>
        <w:rPr>
          <w:sz w:val="20"/>
          <w:szCs w:val="20"/>
          <w:color w:val="auto"/>
        </w:rPr>
      </w:pPr>
      <w:r>
        <w:rPr>
          <w:rFonts w:ascii="仿宋" w:cs="仿宋" w:eastAsia="仿宋" w:hAnsi="仿宋"/>
          <w:sz w:val="32"/>
          <w:szCs w:val="32"/>
          <w:color w:val="auto"/>
        </w:rPr>
        <w:t>6.5.3</w:t>
      </w:r>
      <w:r>
        <w:rPr>
          <w:sz w:val="20"/>
          <w:szCs w:val="20"/>
          <w:color w:val="auto"/>
        </w:rPr>
        <w:tab/>
      </w:r>
      <w:r>
        <w:rPr>
          <w:rFonts w:ascii="仿宋" w:cs="仿宋" w:eastAsia="仿宋" w:hAnsi="仿宋"/>
          <w:sz w:val="31"/>
          <w:szCs w:val="31"/>
          <w:color w:val="auto"/>
        </w:rPr>
        <w:t>应对住房公积金信息系统建立安全审计系统，保</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障数据库安全。</w:t>
      </w:r>
    </w:p>
    <w:p>
      <w:pPr>
        <w:spacing w:after="0" w:line="235" w:lineRule="exact"/>
        <w:rPr>
          <w:sz w:val="20"/>
          <w:szCs w:val="20"/>
          <w:color w:val="auto"/>
        </w:rPr>
      </w:pPr>
    </w:p>
    <w:p>
      <w:pPr>
        <w:ind w:left="1180"/>
        <w:spacing w:after="0" w:line="366" w:lineRule="exact"/>
        <w:tabs>
          <w:tab w:leader="none" w:pos="2280" w:val="left"/>
        </w:tabs>
        <w:rPr>
          <w:sz w:val="20"/>
          <w:szCs w:val="20"/>
          <w:color w:val="auto"/>
        </w:rPr>
      </w:pPr>
      <w:r>
        <w:rPr>
          <w:rFonts w:ascii="仿宋" w:cs="仿宋" w:eastAsia="仿宋" w:hAnsi="仿宋"/>
          <w:sz w:val="32"/>
          <w:szCs w:val="32"/>
          <w:color w:val="auto"/>
        </w:rPr>
        <w:t>6.5.4</w:t>
      </w:r>
      <w:r>
        <w:rPr>
          <w:sz w:val="20"/>
          <w:szCs w:val="20"/>
          <w:color w:val="auto"/>
        </w:rPr>
        <w:tab/>
      </w:r>
      <w:r>
        <w:rPr>
          <w:rFonts w:ascii="仿宋" w:cs="仿宋" w:eastAsia="仿宋" w:hAnsi="仿宋"/>
          <w:sz w:val="31"/>
          <w:szCs w:val="31"/>
          <w:color w:val="auto"/>
        </w:rPr>
        <w:t>应对住房公积金信息系统中的各子系统建立角色</w:t>
      </w:r>
    </w:p>
    <w:p>
      <w:pPr>
        <w:spacing w:after="0" w:line="246" w:lineRule="exact"/>
        <w:rPr>
          <w:sz w:val="20"/>
          <w:szCs w:val="20"/>
          <w:color w:val="auto"/>
        </w:rPr>
      </w:pPr>
    </w:p>
    <w:p>
      <w:pPr>
        <w:ind w:left="540"/>
        <w:spacing w:after="0" w:line="354" w:lineRule="exact"/>
        <w:rPr>
          <w:sz w:val="20"/>
          <w:szCs w:val="20"/>
          <w:color w:val="auto"/>
        </w:rPr>
      </w:pPr>
      <w:r>
        <w:rPr>
          <w:rFonts w:ascii="仿宋" w:cs="仿宋" w:eastAsia="仿宋" w:hAnsi="仿宋"/>
          <w:sz w:val="31"/>
          <w:szCs w:val="31"/>
          <w:color w:val="auto"/>
        </w:rPr>
        <w:t>分配体系，确保整个系统登录的安全合规，并能留下各角色的</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使用痕迹，辅助审计系统的审计核查。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4440"/>
        <w:spacing w:after="0" w:line="274" w:lineRule="exact"/>
        <w:rPr>
          <w:sz w:val="20"/>
          <w:szCs w:val="20"/>
          <w:color w:val="auto"/>
        </w:rPr>
      </w:pPr>
      <w:r>
        <w:rPr>
          <w:rFonts w:ascii="宋体" w:cs="宋体" w:eastAsia="宋体" w:hAnsi="宋体"/>
          <w:sz w:val="24"/>
          <w:szCs w:val="24"/>
          <w:color w:val="auto"/>
        </w:rPr>
        <w:t>- 14 -</w:t>
      </w:r>
    </w:p>
    <w:p>
      <w:pPr>
        <w:sectPr>
          <w:pgSz w:w="11900" w:h="16840" w:orient="portrait"/>
          <w:cols w:equalWidth="0" w:num="1">
            <w:col w:w="9040"/>
          </w:cols>
          <w:pgMar w:left="1440" w:top="1440" w:right="1424" w:bottom="467" w:gutter="0" w:footer="0" w:header="0"/>
        </w:sectPr>
      </w:pPr>
    </w:p>
    <w:bookmarkStart w:id="13" w:name="page14"/>
    <w:bookmarkEnd w:id="13"/>
    <w:p>
      <w:pPr>
        <w:spacing w:after="0" w:line="98" w:lineRule="exact"/>
        <w:rPr>
          <w:sz w:val="20"/>
          <w:szCs w:val="20"/>
          <w:color w:val="auto"/>
        </w:rPr>
      </w:pPr>
    </w:p>
    <w:p>
      <w:pPr>
        <w:ind w:left="3800"/>
        <w:spacing w:after="0" w:line="411" w:lineRule="exact"/>
        <w:tabs>
          <w:tab w:leader="none" w:pos="4320" w:val="left"/>
        </w:tabs>
        <w:rPr>
          <w:sz w:val="20"/>
          <w:szCs w:val="20"/>
          <w:color w:val="auto"/>
        </w:rPr>
      </w:pPr>
      <w:r>
        <w:rPr>
          <w:rFonts w:ascii="黑体" w:cs="黑体" w:eastAsia="黑体" w:hAnsi="黑体"/>
          <w:sz w:val="36"/>
          <w:szCs w:val="36"/>
          <w:b w:val="1"/>
          <w:bCs w:val="1"/>
          <w:color w:val="auto"/>
        </w:rPr>
        <w:t>7</w:t>
      </w:r>
      <w:r>
        <w:rPr>
          <w:sz w:val="20"/>
          <w:szCs w:val="20"/>
          <w:color w:val="auto"/>
        </w:rPr>
        <w:tab/>
      </w:r>
      <w:r>
        <w:rPr>
          <w:rFonts w:ascii="黑体" w:cs="黑体" w:eastAsia="黑体" w:hAnsi="黑体"/>
          <w:sz w:val="36"/>
          <w:szCs w:val="36"/>
          <w:color w:val="auto"/>
        </w:rPr>
        <w:t>服务外包</w:t>
      </w:r>
    </w:p>
    <w:p>
      <w:pPr>
        <w:spacing w:after="0" w:line="237"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7.1</w:t>
      </w:r>
      <w:r>
        <w:rPr>
          <w:sz w:val="20"/>
          <w:szCs w:val="20"/>
          <w:color w:val="auto"/>
        </w:rPr>
        <w:tab/>
      </w:r>
      <w:r>
        <w:rPr>
          <w:rFonts w:ascii="仿宋" w:cs="仿宋" w:eastAsia="仿宋" w:hAnsi="仿宋"/>
          <w:sz w:val="31"/>
          <w:szCs w:val="31"/>
          <w:color w:val="auto"/>
        </w:rPr>
        <w:t>服务外包的范围</w:t>
      </w:r>
    </w:p>
    <w:p>
      <w:pPr>
        <w:spacing w:after="0" w:line="273" w:lineRule="exact"/>
        <w:rPr>
          <w:sz w:val="20"/>
          <w:szCs w:val="20"/>
          <w:color w:val="auto"/>
        </w:rPr>
      </w:pPr>
    </w:p>
    <w:p>
      <w:pPr>
        <w:jc w:val="both"/>
        <w:ind w:left="540" w:right="140" w:firstLine="640"/>
        <w:spacing w:after="0" w:line="508" w:lineRule="exact"/>
        <w:rPr>
          <w:sz w:val="20"/>
          <w:szCs w:val="20"/>
          <w:color w:val="auto"/>
        </w:rPr>
      </w:pPr>
      <w:r>
        <w:rPr>
          <w:rFonts w:ascii="仿宋" w:cs="仿宋" w:eastAsia="仿宋" w:hAnsi="仿宋"/>
          <w:sz w:val="32"/>
          <w:szCs w:val="32"/>
          <w:color w:val="auto"/>
        </w:rPr>
        <w:t>在确保住房公积金数据资产归属公积金中心，并有切实措施保障信息安全的前提下，公积金中心可以选择主机托管、主机租用、购买运行维护服务等外包服务方式。</w:t>
      </w:r>
    </w:p>
    <w:p>
      <w:pPr>
        <w:spacing w:after="0" w:line="238"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7.2</w:t>
      </w:r>
      <w:r>
        <w:rPr>
          <w:sz w:val="20"/>
          <w:szCs w:val="20"/>
          <w:color w:val="auto"/>
        </w:rPr>
        <w:tab/>
      </w:r>
      <w:r>
        <w:rPr>
          <w:rFonts w:ascii="仿宋" w:cs="仿宋" w:eastAsia="仿宋" w:hAnsi="仿宋"/>
          <w:sz w:val="31"/>
          <w:szCs w:val="31"/>
          <w:color w:val="auto"/>
        </w:rPr>
        <w:t>主机托管</w:t>
      </w:r>
    </w:p>
    <w:p>
      <w:pPr>
        <w:spacing w:after="0" w:line="273" w:lineRule="exact"/>
        <w:rPr>
          <w:sz w:val="20"/>
          <w:szCs w:val="20"/>
          <w:color w:val="auto"/>
        </w:rPr>
      </w:pPr>
    </w:p>
    <w:p>
      <w:pPr>
        <w:ind w:left="540" w:right="340" w:firstLine="640"/>
        <w:spacing w:after="0" w:line="463" w:lineRule="exact"/>
        <w:rPr>
          <w:sz w:val="20"/>
          <w:szCs w:val="20"/>
          <w:color w:val="auto"/>
        </w:rPr>
      </w:pPr>
      <w:r>
        <w:rPr>
          <w:rFonts w:ascii="仿宋" w:cs="仿宋" w:eastAsia="仿宋" w:hAnsi="仿宋"/>
          <w:sz w:val="31"/>
          <w:szCs w:val="31"/>
          <w:color w:val="auto"/>
        </w:rPr>
        <w:t>支撑住房公积金信息系统运行的主机和存储设备应自主建设，运行管理可以托管。主机托管费用应列为专项费用。</w:t>
      </w:r>
    </w:p>
    <w:p>
      <w:pPr>
        <w:spacing w:after="0" w:line="237"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7.3</w:t>
      </w:r>
      <w:r>
        <w:rPr>
          <w:sz w:val="20"/>
          <w:szCs w:val="20"/>
          <w:color w:val="auto"/>
        </w:rPr>
        <w:tab/>
      </w:r>
      <w:r>
        <w:rPr>
          <w:rFonts w:ascii="仿宋" w:cs="仿宋" w:eastAsia="仿宋" w:hAnsi="仿宋"/>
          <w:sz w:val="31"/>
          <w:szCs w:val="31"/>
          <w:color w:val="auto"/>
        </w:rPr>
        <w:t>主机租用</w:t>
      </w:r>
    </w:p>
    <w:p>
      <w:pPr>
        <w:spacing w:after="0" w:line="235" w:lineRule="exact"/>
        <w:rPr>
          <w:sz w:val="20"/>
          <w:szCs w:val="20"/>
          <w:color w:val="auto"/>
        </w:rPr>
      </w:pPr>
    </w:p>
    <w:p>
      <w:pPr>
        <w:ind w:left="1180"/>
        <w:spacing w:after="0" w:line="366" w:lineRule="exact"/>
        <w:rPr>
          <w:sz w:val="20"/>
          <w:szCs w:val="20"/>
          <w:color w:val="auto"/>
        </w:rPr>
      </w:pPr>
      <w:r>
        <w:rPr>
          <w:rFonts w:ascii="仿宋" w:cs="仿宋" w:eastAsia="仿宋" w:hAnsi="仿宋"/>
          <w:sz w:val="32"/>
          <w:szCs w:val="32"/>
          <w:color w:val="auto"/>
        </w:rPr>
        <w:t>主机租用应优先考虑政务云。</w:t>
      </w:r>
    </w:p>
    <w:p>
      <w:pPr>
        <w:spacing w:after="0" w:line="273" w:lineRule="exact"/>
        <w:rPr>
          <w:sz w:val="20"/>
          <w:szCs w:val="20"/>
          <w:color w:val="auto"/>
        </w:rPr>
      </w:pPr>
    </w:p>
    <w:p>
      <w:pPr>
        <w:jc w:val="both"/>
        <w:ind w:left="540" w:right="180" w:firstLine="640"/>
        <w:spacing w:after="0" w:line="508" w:lineRule="exact"/>
        <w:rPr>
          <w:sz w:val="20"/>
          <w:szCs w:val="20"/>
          <w:color w:val="auto"/>
        </w:rPr>
      </w:pPr>
      <w:r>
        <w:rPr>
          <w:rFonts w:ascii="仿宋" w:cs="仿宋" w:eastAsia="仿宋" w:hAnsi="仿宋"/>
          <w:sz w:val="32"/>
          <w:szCs w:val="32"/>
          <w:color w:val="auto"/>
        </w:rPr>
        <w:t>租用主机所在机房的建设标准应符合信息安全等级保护三级要求；机房管理的服务质量标准应满足 ISO27001 要求；网络环境应具备与银行专网连接条件。</w:t>
      </w:r>
    </w:p>
    <w:p>
      <w:pPr>
        <w:spacing w:after="0" w:line="238"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7.4</w:t>
      </w:r>
      <w:r>
        <w:rPr>
          <w:sz w:val="20"/>
          <w:szCs w:val="20"/>
          <w:color w:val="auto"/>
        </w:rPr>
        <w:tab/>
      </w:r>
      <w:r>
        <w:rPr>
          <w:rFonts w:ascii="仿宋" w:cs="仿宋" w:eastAsia="仿宋" w:hAnsi="仿宋"/>
          <w:sz w:val="31"/>
          <w:szCs w:val="31"/>
          <w:color w:val="auto"/>
        </w:rPr>
        <w:t>运行维护服务外包</w:t>
      </w:r>
    </w:p>
    <w:p>
      <w:pPr>
        <w:spacing w:after="0" w:line="273" w:lineRule="exact"/>
        <w:rPr>
          <w:sz w:val="20"/>
          <w:szCs w:val="20"/>
          <w:color w:val="auto"/>
        </w:rPr>
      </w:pPr>
    </w:p>
    <w:p>
      <w:pPr>
        <w:ind w:left="540" w:right="340" w:firstLine="640"/>
        <w:spacing w:after="0" w:line="463" w:lineRule="exact"/>
        <w:rPr>
          <w:sz w:val="20"/>
          <w:szCs w:val="20"/>
          <w:color w:val="auto"/>
        </w:rPr>
      </w:pPr>
      <w:r>
        <w:rPr>
          <w:rFonts w:ascii="仿宋" w:cs="仿宋" w:eastAsia="仿宋" w:hAnsi="仿宋"/>
          <w:sz w:val="32"/>
          <w:szCs w:val="32"/>
          <w:color w:val="auto"/>
        </w:rPr>
        <w:t>公积金中心可通过购买运行维护服务方式选择专业服务单位保障系统正常运行。</w:t>
      </w:r>
    </w:p>
    <w:p>
      <w:pPr>
        <w:spacing w:after="0" w:line="238"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7.5</w:t>
      </w:r>
      <w:r>
        <w:rPr>
          <w:sz w:val="20"/>
          <w:szCs w:val="20"/>
          <w:color w:val="auto"/>
        </w:rPr>
        <w:tab/>
      </w:r>
      <w:r>
        <w:rPr>
          <w:rFonts w:ascii="仿宋" w:cs="仿宋" w:eastAsia="仿宋" w:hAnsi="仿宋"/>
          <w:sz w:val="31"/>
          <w:szCs w:val="31"/>
          <w:color w:val="auto"/>
        </w:rPr>
        <w:t>选择外包服务单位条件</w:t>
      </w:r>
    </w:p>
    <w:p>
      <w:pPr>
        <w:spacing w:after="0" w:line="273" w:lineRule="exact"/>
        <w:rPr>
          <w:sz w:val="20"/>
          <w:szCs w:val="20"/>
          <w:color w:val="auto"/>
        </w:rPr>
      </w:pPr>
    </w:p>
    <w:p>
      <w:pPr>
        <w:ind w:left="540" w:firstLine="640"/>
        <w:spacing w:after="0" w:line="531" w:lineRule="exact"/>
        <w:rPr>
          <w:sz w:val="20"/>
          <w:szCs w:val="20"/>
          <w:color w:val="auto"/>
        </w:rPr>
      </w:pPr>
      <w:r>
        <w:rPr>
          <w:rFonts w:ascii="仿宋" w:cs="仿宋" w:eastAsia="仿宋" w:hAnsi="仿宋"/>
          <w:sz w:val="32"/>
          <w:szCs w:val="32"/>
          <w:color w:val="auto"/>
        </w:rPr>
        <w:t>服务外包应选择具有专业资质、技术成熟、抗风险能力强、信誉良好的服务单位。服务外包形式可采用驻场服务、临时现场支持、远程网络服务等方式。在服务外包合同中应明确外包服务范围和服务要求。</w:t>
      </w:r>
    </w:p>
    <w:p>
      <w:pPr>
        <w:spacing w:after="0" w:line="239"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7.6</w:t>
      </w:r>
      <w:r>
        <w:rPr>
          <w:sz w:val="20"/>
          <w:szCs w:val="20"/>
          <w:color w:val="auto"/>
        </w:rPr>
        <w:tab/>
      </w:r>
      <w:r>
        <w:rPr>
          <w:rFonts w:ascii="仿宋" w:cs="仿宋" w:eastAsia="仿宋" w:hAnsi="仿宋"/>
          <w:sz w:val="31"/>
          <w:szCs w:val="31"/>
          <w:color w:val="auto"/>
        </w:rPr>
        <w:t>外包服务单位管理</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379"/>
        <w:spacing w:after="0" w:line="274" w:lineRule="exact"/>
        <w:rPr>
          <w:sz w:val="20"/>
          <w:szCs w:val="20"/>
          <w:color w:val="auto"/>
        </w:rPr>
      </w:pPr>
      <w:r>
        <w:rPr>
          <w:rFonts w:ascii="宋体" w:cs="宋体" w:eastAsia="宋体" w:hAnsi="宋体"/>
          <w:sz w:val="24"/>
          <w:szCs w:val="24"/>
          <w:color w:val="auto"/>
        </w:rPr>
        <w:t>- 15 -</w:t>
      </w:r>
    </w:p>
    <w:p>
      <w:pPr>
        <w:sectPr>
          <w:pgSz w:w="11900" w:h="16840" w:orient="portrait"/>
          <w:cols w:equalWidth="0" w:num="1">
            <w:col w:w="9200"/>
          </w:cols>
          <w:pgMar w:left="1440" w:top="1440" w:right="1264" w:bottom="467" w:gutter="0" w:footer="0" w:header="0"/>
        </w:sectPr>
      </w:pPr>
    </w:p>
    <w:bookmarkStart w:id="14" w:name="page15"/>
    <w:bookmarkEnd w:id="14"/>
    <w:p>
      <w:pPr>
        <w:spacing w:after="0" w:line="145" w:lineRule="exact"/>
        <w:rPr>
          <w:sz w:val="20"/>
          <w:szCs w:val="20"/>
          <w:color w:val="auto"/>
        </w:rPr>
      </w:pPr>
    </w:p>
    <w:p>
      <w:pPr>
        <w:ind w:left="1180"/>
        <w:spacing w:after="0" w:line="366" w:lineRule="exact"/>
        <w:rPr>
          <w:sz w:val="20"/>
          <w:szCs w:val="20"/>
          <w:color w:val="auto"/>
        </w:rPr>
      </w:pPr>
      <w:r>
        <w:rPr>
          <w:rFonts w:ascii="仿宋" w:cs="仿宋" w:eastAsia="仿宋" w:hAnsi="仿宋"/>
          <w:sz w:val="32"/>
          <w:szCs w:val="32"/>
          <w:color w:val="auto"/>
        </w:rPr>
        <w:t>服务单位应按合同约定提供住房公积金信息系统的运行</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情况报告，主要包括系统运行状态（CPU、内存、存储、网络</w:t>
      </w:r>
    </w:p>
    <w:p>
      <w:pPr>
        <w:spacing w:after="0" w:line="246" w:lineRule="exact"/>
        <w:rPr>
          <w:sz w:val="20"/>
          <w:szCs w:val="20"/>
          <w:color w:val="auto"/>
        </w:rPr>
      </w:pPr>
    </w:p>
    <w:p>
      <w:pPr>
        <w:ind w:left="540"/>
        <w:spacing w:after="0" w:line="354" w:lineRule="exact"/>
        <w:rPr>
          <w:sz w:val="20"/>
          <w:szCs w:val="20"/>
          <w:color w:val="auto"/>
        </w:rPr>
      </w:pPr>
      <w:r>
        <w:rPr>
          <w:rFonts w:ascii="仿宋" w:cs="仿宋" w:eastAsia="仿宋" w:hAnsi="仿宋"/>
          <w:sz w:val="31"/>
          <w:szCs w:val="31"/>
          <w:color w:val="auto"/>
        </w:rPr>
        <w:t>等）、系统预警、系统故障、安全事件、日志审计等，并随时</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接受公积金中心监督、考核。</w:t>
      </w:r>
    </w:p>
    <w:p>
      <w:pPr>
        <w:spacing w:after="0" w:line="235"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7.7</w:t>
      </w:r>
      <w:r>
        <w:rPr>
          <w:sz w:val="20"/>
          <w:szCs w:val="20"/>
          <w:color w:val="auto"/>
        </w:rPr>
        <w:tab/>
      </w:r>
      <w:r>
        <w:rPr>
          <w:rFonts w:ascii="仿宋" w:cs="仿宋" w:eastAsia="仿宋" w:hAnsi="仿宋"/>
          <w:sz w:val="31"/>
          <w:szCs w:val="31"/>
          <w:color w:val="auto"/>
        </w:rPr>
        <w:t>服务外包相关费用应列为专项费用。</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4440"/>
        <w:spacing w:after="0" w:line="274" w:lineRule="exact"/>
        <w:rPr>
          <w:sz w:val="20"/>
          <w:szCs w:val="20"/>
          <w:color w:val="auto"/>
        </w:rPr>
      </w:pPr>
      <w:r>
        <w:rPr>
          <w:rFonts w:ascii="宋体" w:cs="宋体" w:eastAsia="宋体" w:hAnsi="宋体"/>
          <w:sz w:val="24"/>
          <w:szCs w:val="24"/>
          <w:color w:val="auto"/>
        </w:rPr>
        <w:t>- 16 -</w:t>
      </w:r>
    </w:p>
    <w:p>
      <w:pPr>
        <w:sectPr>
          <w:pgSz w:w="11900" w:h="16840" w:orient="portrait"/>
          <w:cols w:equalWidth="0" w:num="1">
            <w:col w:w="9060"/>
          </w:cols>
          <w:pgMar w:left="1440" w:top="1440" w:right="1404" w:bottom="467" w:gutter="0" w:footer="0" w:header="0"/>
        </w:sectPr>
      </w:pPr>
    </w:p>
    <w:bookmarkStart w:id="15" w:name="page16"/>
    <w:bookmarkEnd w:id="15"/>
    <w:p>
      <w:pPr>
        <w:spacing w:after="0" w:line="98" w:lineRule="exact"/>
        <w:rPr>
          <w:sz w:val="20"/>
          <w:szCs w:val="20"/>
          <w:color w:val="auto"/>
        </w:rPr>
      </w:pPr>
    </w:p>
    <w:p>
      <w:pPr>
        <w:ind w:left="4080"/>
        <w:spacing w:after="0" w:line="411" w:lineRule="exact"/>
        <w:tabs>
          <w:tab w:leader="none" w:pos="4780" w:val="left"/>
        </w:tabs>
        <w:rPr>
          <w:sz w:val="20"/>
          <w:szCs w:val="20"/>
          <w:color w:val="auto"/>
        </w:rPr>
      </w:pPr>
      <w:r>
        <w:rPr>
          <w:rFonts w:ascii="黑体" w:cs="黑体" w:eastAsia="黑体" w:hAnsi="黑体"/>
          <w:sz w:val="36"/>
          <w:szCs w:val="36"/>
          <w:color w:val="auto"/>
        </w:rPr>
        <w:t>八</w:t>
        <w:tab/>
        <w:t>附则</w:t>
      </w:r>
    </w:p>
    <w:p>
      <w:pPr>
        <w:spacing w:after="0" w:line="237"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8.1</w:t>
      </w:r>
      <w:r>
        <w:rPr>
          <w:sz w:val="20"/>
          <w:szCs w:val="20"/>
          <w:color w:val="auto"/>
        </w:rPr>
        <w:tab/>
      </w:r>
      <w:r>
        <w:rPr>
          <w:rFonts w:ascii="仿宋" w:cs="仿宋" w:eastAsia="仿宋" w:hAnsi="仿宋"/>
          <w:sz w:val="31"/>
          <w:szCs w:val="31"/>
          <w:color w:val="auto"/>
        </w:rPr>
        <w:t>本导则由住房和城乡建设部负责解释。</w:t>
      </w:r>
    </w:p>
    <w:p>
      <w:pPr>
        <w:spacing w:after="0" w:line="235" w:lineRule="exact"/>
        <w:rPr>
          <w:sz w:val="20"/>
          <w:szCs w:val="20"/>
          <w:color w:val="auto"/>
        </w:rPr>
      </w:pPr>
    </w:p>
    <w:p>
      <w:pPr>
        <w:ind w:left="1180"/>
        <w:spacing w:after="0" w:line="366" w:lineRule="exact"/>
        <w:tabs>
          <w:tab w:leader="none" w:pos="1960" w:val="left"/>
        </w:tabs>
        <w:rPr>
          <w:sz w:val="20"/>
          <w:szCs w:val="20"/>
          <w:color w:val="auto"/>
        </w:rPr>
      </w:pPr>
      <w:r>
        <w:rPr>
          <w:rFonts w:ascii="仿宋" w:cs="仿宋" w:eastAsia="仿宋" w:hAnsi="仿宋"/>
          <w:sz w:val="32"/>
          <w:szCs w:val="32"/>
          <w:color w:val="auto"/>
        </w:rPr>
        <w:t>8.2</w:t>
      </w:r>
      <w:r>
        <w:rPr>
          <w:sz w:val="20"/>
          <w:szCs w:val="20"/>
          <w:color w:val="auto"/>
        </w:rPr>
        <w:tab/>
      </w:r>
      <w:r>
        <w:rPr>
          <w:rFonts w:ascii="仿宋" w:cs="仿宋" w:eastAsia="仿宋" w:hAnsi="仿宋"/>
          <w:sz w:val="31"/>
          <w:szCs w:val="31"/>
          <w:color w:val="auto"/>
        </w:rPr>
        <w:t>本导则自印发之日起施行。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4440"/>
        <w:spacing w:after="0" w:line="274" w:lineRule="exact"/>
        <w:rPr>
          <w:sz w:val="20"/>
          <w:szCs w:val="20"/>
          <w:color w:val="auto"/>
        </w:rPr>
      </w:pPr>
      <w:r>
        <w:rPr>
          <w:rFonts w:ascii="宋体" w:cs="宋体" w:eastAsia="宋体" w:hAnsi="宋体"/>
          <w:sz w:val="24"/>
          <w:szCs w:val="24"/>
          <w:color w:val="auto"/>
        </w:rPr>
        <w:t>- 17 -</w:t>
      </w:r>
    </w:p>
    <w:p>
      <w:pPr>
        <w:sectPr>
          <w:pgSz w:w="11900" w:h="16840" w:orient="portrait"/>
          <w:cols w:equalWidth="0" w:num="1">
            <w:col w:w="9024"/>
          </w:cols>
          <w:pgMar w:left="1440" w:top="1440" w:right="1440" w:bottom="467" w:gutter="0" w:footer="0" w:header="0"/>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4260"/>
        <w:spacing w:after="0" w:line="411" w:lineRule="exact"/>
        <w:rPr>
          <w:sz w:val="20"/>
          <w:szCs w:val="20"/>
          <w:color w:val="auto"/>
        </w:rPr>
      </w:pPr>
      <w:r>
        <w:rPr>
          <w:rFonts w:ascii="黑体" w:cs="黑体" w:eastAsia="黑体" w:hAnsi="黑体"/>
          <w:sz w:val="36"/>
          <w:szCs w:val="36"/>
          <w:color w:val="auto"/>
        </w:rPr>
        <w:t>附录一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1180"/>
        <w:spacing w:after="0" w:line="354" w:lineRule="exact"/>
        <w:rPr>
          <w:sz w:val="20"/>
          <w:szCs w:val="20"/>
          <w:color w:val="auto"/>
        </w:rPr>
      </w:pPr>
      <w:r>
        <w:rPr>
          <w:rFonts w:ascii="仿宋" w:cs="仿宋" w:eastAsia="仿宋" w:hAnsi="仿宋"/>
          <w:sz w:val="31"/>
          <w:szCs w:val="31"/>
          <w:color w:val="auto"/>
        </w:rPr>
        <w:t>各地住房公积金信息系统，依托全国统一的住房公积金资</w:t>
      </w:r>
    </w:p>
    <w:p>
      <w:pPr>
        <w:spacing w:after="0" w:line="246" w:lineRule="exact"/>
        <w:rPr>
          <w:sz w:val="20"/>
          <w:szCs w:val="20"/>
          <w:color w:val="auto"/>
        </w:rPr>
      </w:pPr>
    </w:p>
    <w:p>
      <w:pPr>
        <w:ind w:left="540"/>
        <w:spacing w:after="0" w:line="354" w:lineRule="exact"/>
        <w:rPr>
          <w:sz w:val="20"/>
          <w:szCs w:val="20"/>
          <w:color w:val="auto"/>
        </w:rPr>
      </w:pPr>
      <w:r>
        <w:rPr>
          <w:rFonts w:ascii="仿宋" w:cs="仿宋" w:eastAsia="仿宋" w:hAnsi="仿宋"/>
          <w:sz w:val="31"/>
          <w:szCs w:val="31"/>
          <w:color w:val="auto"/>
        </w:rPr>
        <w:t>金结算应用系统，进行资金、业务信息的交互，实现异地转移</w:t>
      </w:r>
    </w:p>
    <w:p>
      <w:pPr>
        <w:spacing w:after="0" w:line="235" w:lineRule="exact"/>
        <w:rPr>
          <w:sz w:val="20"/>
          <w:szCs w:val="20"/>
          <w:color w:val="auto"/>
        </w:rPr>
      </w:pPr>
    </w:p>
    <w:p>
      <w:pPr>
        <w:ind w:left="540"/>
        <w:spacing w:after="0" w:line="366" w:lineRule="exact"/>
        <w:rPr>
          <w:sz w:val="20"/>
          <w:szCs w:val="20"/>
          <w:color w:val="auto"/>
        </w:rPr>
      </w:pPr>
      <w:r>
        <w:rPr>
          <w:rFonts w:ascii="仿宋" w:cs="仿宋" w:eastAsia="仿宋" w:hAnsi="仿宋"/>
          <w:sz w:val="32"/>
          <w:szCs w:val="32"/>
          <w:color w:val="auto"/>
        </w:rPr>
        <w:t>接续、异地贷款功能的示意图。</w:t>
      </w:r>
    </w:p>
    <w:p>
      <w:pPr>
        <w:spacing w:after="0" w:line="200" w:lineRule="exact"/>
        <w:rPr>
          <w:sz w:val="20"/>
          <w:szCs w:val="20"/>
          <w:color w:val="auto"/>
        </w:rPr>
      </w:pPr>
    </w:p>
    <w:p>
      <w:pPr>
        <w:spacing w:after="0" w:line="294" w:lineRule="exact"/>
        <w:rPr>
          <w:sz w:val="20"/>
          <w:szCs w:val="20"/>
          <w:color w:val="auto"/>
        </w:rPr>
      </w:pPr>
    </w:p>
    <w:tbl>
      <w:tblPr>
        <w:tblLayout w:type="fixed"/>
        <w:tblInd w:w="1300" w:type="dxa"/>
        <w:tblCellMar>
          <w:top w:w="0" w:type="dxa"/>
          <w:left w:w="0" w:type="dxa"/>
          <w:bottom w:w="0" w:type="dxa"/>
          <w:right w:w="0" w:type="dxa"/>
        </w:tblCellMar>
      </w:tblPr>
      <w:tr>
        <w:trPr>
          <w:trHeight w:val="277"/>
        </w:trPr>
        <w:tc>
          <w:tcPr>
            <w:tcW w:w="500" w:type="dxa"/>
            <w:vAlign w:val="bottom"/>
          </w:tcPr>
          <w:p>
            <w:pPr>
              <w:spacing w:after="0"/>
              <w:rPr>
                <w:sz w:val="24"/>
                <w:szCs w:val="24"/>
                <w:color w:val="auto"/>
              </w:rPr>
            </w:pPr>
          </w:p>
        </w:tc>
        <w:tc>
          <w:tcPr>
            <w:tcW w:w="1560" w:type="dxa"/>
            <w:vAlign w:val="bottom"/>
          </w:tcPr>
          <w:p>
            <w:pPr>
              <w:jc w:val="center"/>
              <w:ind w:left="122"/>
              <w:spacing w:after="0" w:line="278" w:lineRule="exact"/>
              <w:rPr>
                <w:sz w:val="20"/>
                <w:szCs w:val="20"/>
                <w:color w:val="auto"/>
              </w:rPr>
            </w:pPr>
            <w:r>
              <w:rPr>
                <w:rFonts w:ascii="微软雅黑" w:cs="微软雅黑" w:eastAsia="微软雅黑" w:hAnsi="微软雅黑"/>
                <w:sz w:val="21"/>
                <w:szCs w:val="21"/>
                <w:b w:val="1"/>
                <w:bCs w:val="1"/>
                <w:color w:val="auto"/>
                <w:w w:val="97"/>
              </w:rPr>
              <w:t>公积金中心</w:t>
            </w:r>
            <w:r>
              <w:rPr>
                <w:rFonts w:ascii="Microsoft Sans Serif" w:cs="Microsoft Sans Serif" w:eastAsia="Microsoft Sans Serif" w:hAnsi="Microsoft Sans Serif"/>
                <w:sz w:val="21"/>
                <w:szCs w:val="21"/>
                <w:b w:val="1"/>
                <w:bCs w:val="1"/>
                <w:color w:val="auto"/>
                <w:w w:val="97"/>
              </w:rPr>
              <w:t>A</w:t>
            </w:r>
          </w:p>
        </w:tc>
        <w:tc>
          <w:tcPr>
            <w:tcW w:w="15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500" w:type="dxa"/>
            <w:vAlign w:val="bottom"/>
          </w:tcPr>
          <w:p>
            <w:pPr>
              <w:spacing w:after="0"/>
              <w:rPr>
                <w:sz w:val="24"/>
                <w:szCs w:val="24"/>
                <w:color w:val="auto"/>
              </w:rPr>
            </w:pPr>
          </w:p>
        </w:tc>
        <w:tc>
          <w:tcPr>
            <w:tcW w:w="1560" w:type="dxa"/>
            <w:vAlign w:val="bottom"/>
          </w:tcPr>
          <w:p>
            <w:pPr>
              <w:jc w:val="center"/>
              <w:ind w:left="202"/>
              <w:spacing w:after="0" w:line="160" w:lineRule="exact"/>
              <w:rPr>
                <w:sz w:val="20"/>
                <w:szCs w:val="20"/>
                <w:color w:val="auto"/>
              </w:rPr>
            </w:pPr>
            <w:r>
              <w:rPr>
                <w:rFonts w:ascii="黑体" w:cs="黑体" w:eastAsia="黑体" w:hAnsi="黑体"/>
                <w:sz w:val="14"/>
                <w:szCs w:val="14"/>
                <w:color w:val="auto"/>
              </w:rPr>
              <w:t>网厅、手机</w:t>
            </w:r>
          </w:p>
        </w:tc>
        <w:tc>
          <w:tcPr>
            <w:tcW w:w="15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500" w:type="dxa"/>
            <w:vAlign w:val="bottom"/>
          </w:tcPr>
          <w:p>
            <w:pPr>
              <w:spacing w:after="0"/>
              <w:rPr>
                <w:sz w:val="15"/>
                <w:szCs w:val="15"/>
                <w:color w:val="auto"/>
              </w:rPr>
            </w:pPr>
          </w:p>
        </w:tc>
        <w:tc>
          <w:tcPr>
            <w:tcW w:w="1560" w:type="dxa"/>
            <w:vAlign w:val="bottom"/>
          </w:tcPr>
          <w:p>
            <w:pPr>
              <w:jc w:val="center"/>
              <w:ind w:left="202"/>
              <w:spacing w:after="0" w:line="160" w:lineRule="exact"/>
              <w:rPr>
                <w:sz w:val="20"/>
                <w:szCs w:val="20"/>
                <w:color w:val="auto"/>
              </w:rPr>
            </w:pPr>
            <w:r>
              <w:rPr>
                <w:rFonts w:ascii="黑体" w:cs="黑体" w:eastAsia="黑体" w:hAnsi="黑体"/>
                <w:sz w:val="14"/>
                <w:szCs w:val="14"/>
                <w:color w:val="auto"/>
              </w:rPr>
              <w:t>APP、热线</w:t>
            </w:r>
          </w:p>
        </w:tc>
        <w:tc>
          <w:tcPr>
            <w:tcW w:w="1540" w:type="dxa"/>
            <w:vAlign w:val="bottom"/>
          </w:tcPr>
          <w:p>
            <w:pPr>
              <w:spacing w:after="0"/>
              <w:rPr>
                <w:sz w:val="15"/>
                <w:szCs w:val="15"/>
                <w:color w:val="auto"/>
              </w:rPr>
            </w:pPr>
          </w:p>
        </w:tc>
        <w:tc>
          <w:tcPr>
            <w:tcW w:w="24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50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540" w:type="dxa"/>
            <w:vAlign w:val="bottom"/>
          </w:tcPr>
          <w:p>
            <w:pPr>
              <w:jc w:val="center"/>
              <w:ind w:right="496"/>
              <w:spacing w:after="0" w:line="160" w:lineRule="exact"/>
              <w:rPr>
                <w:sz w:val="20"/>
                <w:szCs w:val="20"/>
                <w:color w:val="auto"/>
              </w:rPr>
            </w:pPr>
            <w:r>
              <w:rPr>
                <w:rFonts w:ascii="黑体" w:cs="黑体" w:eastAsia="黑体" w:hAnsi="黑体"/>
                <w:sz w:val="14"/>
                <w:szCs w:val="14"/>
                <w:color w:val="auto"/>
              </w:rPr>
              <w:t>管理系统</w:t>
            </w:r>
          </w:p>
        </w:tc>
        <w:tc>
          <w:tcPr>
            <w:tcW w:w="24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6"/>
        </w:trPr>
        <w:tc>
          <w:tcPr>
            <w:tcW w:w="500" w:type="dxa"/>
            <w:vAlign w:val="bottom"/>
            <w:vMerge w:val="restart"/>
          </w:tcPr>
          <w:p>
            <w:pPr>
              <w:spacing w:after="0" w:line="240" w:lineRule="exact"/>
              <w:rPr>
                <w:sz w:val="20"/>
                <w:szCs w:val="20"/>
                <w:color w:val="auto"/>
              </w:rPr>
            </w:pPr>
            <w:r>
              <w:rPr>
                <w:rFonts w:ascii="黑体" w:cs="黑体" w:eastAsia="黑体" w:hAnsi="黑体"/>
                <w:sz w:val="21"/>
                <w:szCs w:val="21"/>
                <w:b w:val="1"/>
                <w:bCs w:val="1"/>
                <w:color w:val="auto"/>
              </w:rPr>
              <w:t>相</w:t>
            </w:r>
          </w:p>
        </w:tc>
        <w:tc>
          <w:tcPr>
            <w:tcW w:w="1560" w:type="dxa"/>
            <w:vAlign w:val="bottom"/>
            <w:vMerge w:val="restart"/>
          </w:tcPr>
          <w:p>
            <w:pPr>
              <w:jc w:val="center"/>
              <w:ind w:left="202"/>
              <w:spacing w:after="0" w:line="160" w:lineRule="exact"/>
              <w:rPr>
                <w:sz w:val="20"/>
                <w:szCs w:val="20"/>
                <w:color w:val="auto"/>
              </w:rPr>
            </w:pPr>
            <w:r>
              <w:rPr>
                <w:rFonts w:ascii="黑体" w:cs="黑体" w:eastAsia="黑体" w:hAnsi="黑体"/>
                <w:sz w:val="14"/>
                <w:szCs w:val="14"/>
                <w:color w:val="auto"/>
              </w:rPr>
              <w:t>综合服务平台</w:t>
            </w:r>
          </w:p>
        </w:tc>
        <w:tc>
          <w:tcPr>
            <w:tcW w:w="1540" w:type="dxa"/>
            <w:vAlign w:val="bottom"/>
          </w:tcPr>
          <w:p>
            <w:pPr>
              <w:jc w:val="center"/>
              <w:ind w:right="476"/>
              <w:spacing w:after="0" w:line="137" w:lineRule="exact"/>
              <w:rPr>
                <w:sz w:val="20"/>
                <w:szCs w:val="20"/>
                <w:color w:val="auto"/>
              </w:rPr>
            </w:pPr>
            <w:r>
              <w:rPr>
                <w:rFonts w:ascii="黑体" w:cs="黑体" w:eastAsia="黑体" w:hAnsi="黑体"/>
                <w:sz w:val="12"/>
                <w:szCs w:val="12"/>
                <w:color w:val="auto"/>
                <w:w w:val="97"/>
              </w:rPr>
              <w:t>(执法、档案、统</w:t>
            </w:r>
          </w:p>
        </w:tc>
        <w:tc>
          <w:tcPr>
            <w:tcW w:w="24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500" w:type="dxa"/>
            <w:vAlign w:val="bottom"/>
            <w:vMerge w:val="continue"/>
          </w:tcPr>
          <w:p>
            <w:pPr>
              <w:spacing w:after="0"/>
              <w:rPr>
                <w:sz w:val="8"/>
                <w:szCs w:val="8"/>
                <w:color w:val="auto"/>
              </w:rPr>
            </w:pPr>
          </w:p>
        </w:tc>
        <w:tc>
          <w:tcPr>
            <w:tcW w:w="1560" w:type="dxa"/>
            <w:vAlign w:val="bottom"/>
            <w:vMerge w:val="continue"/>
          </w:tcPr>
          <w:p>
            <w:pPr>
              <w:spacing w:after="0"/>
              <w:rPr>
                <w:sz w:val="8"/>
                <w:szCs w:val="8"/>
                <w:color w:val="auto"/>
              </w:rPr>
            </w:pPr>
          </w:p>
        </w:tc>
        <w:tc>
          <w:tcPr>
            <w:tcW w:w="1540" w:type="dxa"/>
            <w:vAlign w:val="bottom"/>
            <w:vMerge w:val="restart"/>
          </w:tcPr>
          <w:p>
            <w:pPr>
              <w:ind w:left="300"/>
              <w:spacing w:after="0" w:line="137" w:lineRule="exact"/>
              <w:rPr>
                <w:sz w:val="20"/>
                <w:szCs w:val="20"/>
                <w:color w:val="auto"/>
              </w:rPr>
            </w:pPr>
            <w:r>
              <w:rPr>
                <w:rFonts w:ascii="黑体" w:cs="黑体" w:eastAsia="黑体" w:hAnsi="黑体"/>
                <w:sz w:val="12"/>
                <w:szCs w:val="12"/>
                <w:color w:val="auto"/>
              </w:rPr>
              <w:t>计、OA)</w:t>
            </w:r>
          </w:p>
        </w:tc>
        <w:tc>
          <w:tcPr>
            <w:tcW w:w="24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
        </w:trPr>
        <w:tc>
          <w:tcPr>
            <w:tcW w:w="500" w:type="dxa"/>
            <w:vAlign w:val="bottom"/>
          </w:tcPr>
          <w:p>
            <w:pPr>
              <w:spacing w:after="0"/>
              <w:rPr>
                <w:sz w:val="3"/>
                <w:szCs w:val="3"/>
                <w:color w:val="auto"/>
              </w:rPr>
            </w:pPr>
          </w:p>
        </w:tc>
        <w:tc>
          <w:tcPr>
            <w:tcW w:w="1560" w:type="dxa"/>
            <w:vAlign w:val="bottom"/>
          </w:tcPr>
          <w:p>
            <w:pPr>
              <w:spacing w:after="0"/>
              <w:rPr>
                <w:sz w:val="3"/>
                <w:szCs w:val="3"/>
                <w:color w:val="auto"/>
              </w:rPr>
            </w:pPr>
          </w:p>
        </w:tc>
        <w:tc>
          <w:tcPr>
            <w:tcW w:w="1540" w:type="dxa"/>
            <w:vAlign w:val="bottom"/>
            <w:vMerge w:val="continue"/>
          </w:tcPr>
          <w:p>
            <w:pPr>
              <w:spacing w:after="0"/>
              <w:rPr>
                <w:sz w:val="3"/>
                <w:szCs w:val="3"/>
                <w:color w:val="auto"/>
              </w:rPr>
            </w:pPr>
          </w:p>
        </w:tc>
        <w:tc>
          <w:tcPr>
            <w:tcW w:w="2420" w:type="dxa"/>
            <w:vAlign w:val="bottom"/>
          </w:tcPr>
          <w:p>
            <w:pPr>
              <w:spacing w:after="0"/>
              <w:rPr>
                <w:sz w:val="3"/>
                <w:szCs w:val="3"/>
                <w:color w:val="auto"/>
              </w:rPr>
            </w:pPr>
          </w:p>
        </w:tc>
        <w:tc>
          <w:tcPr>
            <w:tcW w:w="10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09"/>
        </w:trPr>
        <w:tc>
          <w:tcPr>
            <w:tcW w:w="500" w:type="dxa"/>
            <w:vAlign w:val="bottom"/>
          </w:tcPr>
          <w:p>
            <w:pPr>
              <w:spacing w:after="0" w:line="209" w:lineRule="exact"/>
              <w:rPr>
                <w:sz w:val="20"/>
                <w:szCs w:val="20"/>
                <w:color w:val="auto"/>
              </w:rPr>
            </w:pPr>
            <w:r>
              <w:rPr>
                <w:rFonts w:ascii="黑体" w:cs="黑体" w:eastAsia="黑体" w:hAnsi="黑体"/>
                <w:sz w:val="21"/>
                <w:szCs w:val="21"/>
                <w:b w:val="1"/>
                <w:bCs w:val="1"/>
                <w:color w:val="auto"/>
              </w:rPr>
              <w:t>关</w:t>
            </w:r>
          </w:p>
        </w:tc>
        <w:tc>
          <w:tcPr>
            <w:tcW w:w="15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24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6"/>
        </w:trPr>
        <w:tc>
          <w:tcPr>
            <w:tcW w:w="500" w:type="dxa"/>
            <w:vAlign w:val="bottom"/>
          </w:tcPr>
          <w:p>
            <w:pPr>
              <w:spacing w:after="0" w:line="240" w:lineRule="exact"/>
              <w:rPr>
                <w:sz w:val="20"/>
                <w:szCs w:val="20"/>
                <w:color w:val="auto"/>
              </w:rPr>
            </w:pPr>
            <w:r>
              <w:rPr>
                <w:rFonts w:ascii="黑体" w:cs="黑体" w:eastAsia="黑体" w:hAnsi="黑体"/>
                <w:sz w:val="21"/>
                <w:szCs w:val="21"/>
                <w:b w:val="1"/>
                <w:bCs w:val="1"/>
                <w:color w:val="auto"/>
              </w:rPr>
              <w:t>单</w:t>
            </w:r>
          </w:p>
        </w:tc>
        <w:tc>
          <w:tcPr>
            <w:tcW w:w="3100" w:type="dxa"/>
            <w:vAlign w:val="bottom"/>
            <w:gridSpan w:val="2"/>
          </w:tcPr>
          <w:p>
            <w:pPr>
              <w:ind w:left="1200"/>
              <w:spacing w:after="0" w:line="160" w:lineRule="exact"/>
              <w:rPr>
                <w:sz w:val="20"/>
                <w:szCs w:val="20"/>
                <w:color w:val="auto"/>
              </w:rPr>
            </w:pPr>
            <w:r>
              <w:rPr>
                <w:rFonts w:ascii="黑体" w:cs="黑体" w:eastAsia="黑体" w:hAnsi="黑体"/>
                <w:sz w:val="14"/>
                <w:szCs w:val="14"/>
                <w:color w:val="auto"/>
              </w:rPr>
              <w:t>业务系统</w:t>
            </w:r>
          </w:p>
        </w:tc>
        <w:tc>
          <w:tcPr>
            <w:tcW w:w="2420" w:type="dxa"/>
            <w:vAlign w:val="bottom"/>
          </w:tcPr>
          <w:p>
            <w:pPr>
              <w:spacing w:after="0"/>
              <w:rPr>
                <w:sz w:val="21"/>
                <w:szCs w:val="21"/>
                <w:color w:val="auto"/>
              </w:rPr>
            </w:pPr>
          </w:p>
        </w:tc>
        <w:tc>
          <w:tcPr>
            <w:tcW w:w="1040" w:type="dxa"/>
            <w:vAlign w:val="bottom"/>
          </w:tcPr>
          <w:p>
            <w:pPr>
              <w:jc w:val="center"/>
              <w:ind w:left="312"/>
              <w:spacing w:after="0" w:line="194" w:lineRule="exact"/>
              <w:rPr>
                <w:sz w:val="20"/>
                <w:szCs w:val="20"/>
                <w:color w:val="auto"/>
              </w:rPr>
            </w:pPr>
            <w:r>
              <w:rPr>
                <w:rFonts w:ascii="黑体" w:cs="黑体" w:eastAsia="黑体" w:hAnsi="黑体"/>
                <w:sz w:val="18"/>
                <w:szCs w:val="18"/>
                <w:b w:val="1"/>
                <w:bCs w:val="1"/>
                <w:color w:val="auto"/>
                <w:w w:val="97"/>
              </w:rPr>
              <w:t>银行A</w:t>
            </w:r>
          </w:p>
        </w:tc>
        <w:tc>
          <w:tcPr>
            <w:tcW w:w="0" w:type="dxa"/>
            <w:vAlign w:val="bottom"/>
          </w:tcPr>
          <w:p>
            <w:pPr>
              <w:spacing w:after="0"/>
              <w:rPr>
                <w:sz w:val="1"/>
                <w:szCs w:val="1"/>
                <w:color w:val="auto"/>
              </w:rPr>
            </w:pPr>
          </w:p>
        </w:tc>
      </w:tr>
      <w:tr>
        <w:trPr>
          <w:trHeight w:val="246"/>
        </w:trPr>
        <w:tc>
          <w:tcPr>
            <w:tcW w:w="500" w:type="dxa"/>
            <w:vAlign w:val="bottom"/>
          </w:tcPr>
          <w:p>
            <w:pPr>
              <w:spacing w:after="0" w:line="240" w:lineRule="exact"/>
              <w:rPr>
                <w:sz w:val="20"/>
                <w:szCs w:val="20"/>
                <w:color w:val="auto"/>
              </w:rPr>
            </w:pPr>
            <w:r>
              <w:rPr>
                <w:rFonts w:ascii="黑体" w:cs="黑体" w:eastAsia="黑体" w:hAnsi="黑体"/>
                <w:sz w:val="21"/>
                <w:szCs w:val="21"/>
                <w:b w:val="1"/>
                <w:bCs w:val="1"/>
                <w:color w:val="auto"/>
              </w:rPr>
              <w:t>位</w:t>
            </w:r>
          </w:p>
        </w:tc>
        <w:tc>
          <w:tcPr>
            <w:tcW w:w="3100" w:type="dxa"/>
            <w:vAlign w:val="bottom"/>
            <w:gridSpan w:val="2"/>
            <w:vMerge w:val="restart"/>
          </w:tcPr>
          <w:p>
            <w:pPr>
              <w:ind w:left="1200"/>
              <w:spacing w:after="0" w:line="160" w:lineRule="exact"/>
              <w:rPr>
                <w:sz w:val="20"/>
                <w:szCs w:val="20"/>
                <w:color w:val="auto"/>
              </w:rPr>
            </w:pPr>
            <w:r>
              <w:rPr>
                <w:rFonts w:ascii="黑体" w:cs="黑体" w:eastAsia="黑体" w:hAnsi="黑体"/>
                <w:sz w:val="14"/>
                <w:szCs w:val="14"/>
                <w:color w:val="auto"/>
              </w:rPr>
              <w:t>数据资源</w:t>
            </w:r>
          </w:p>
        </w:tc>
        <w:tc>
          <w:tcPr>
            <w:tcW w:w="24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6"/>
        </w:trPr>
        <w:tc>
          <w:tcPr>
            <w:tcW w:w="500" w:type="dxa"/>
            <w:vAlign w:val="bottom"/>
          </w:tcPr>
          <w:p>
            <w:pPr>
              <w:spacing w:after="0"/>
              <w:rPr>
                <w:sz w:val="8"/>
                <w:szCs w:val="8"/>
                <w:color w:val="auto"/>
              </w:rPr>
            </w:pPr>
          </w:p>
        </w:tc>
        <w:tc>
          <w:tcPr>
            <w:tcW w:w="3100" w:type="dxa"/>
            <w:vAlign w:val="bottom"/>
            <w:gridSpan w:val="2"/>
            <w:vMerge w:val="continue"/>
          </w:tcPr>
          <w:p>
            <w:pPr>
              <w:spacing w:after="0"/>
              <w:rPr>
                <w:sz w:val="8"/>
                <w:szCs w:val="8"/>
                <w:color w:val="auto"/>
              </w:rPr>
            </w:pPr>
          </w:p>
        </w:tc>
        <w:tc>
          <w:tcPr>
            <w:tcW w:w="24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4"/>
        </w:trPr>
        <w:tc>
          <w:tcPr>
            <w:tcW w:w="50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2420" w:type="dxa"/>
            <w:vAlign w:val="bottom"/>
          </w:tcPr>
          <w:p>
            <w:pPr>
              <w:jc w:val="center"/>
              <w:ind w:left="102"/>
              <w:spacing w:after="0" w:line="184" w:lineRule="exact"/>
              <w:rPr>
                <w:sz w:val="20"/>
                <w:szCs w:val="20"/>
                <w:color w:val="auto"/>
              </w:rPr>
            </w:pPr>
            <w:r>
              <w:rPr>
                <w:rFonts w:ascii="黑体" w:cs="黑体" w:eastAsia="黑体" w:hAnsi="黑体"/>
                <w:sz w:val="18"/>
                <w:szCs w:val="18"/>
                <w:color w:val="auto"/>
                <w:w w:val="97"/>
              </w:rPr>
              <w:t>住房公积金结算应</w:t>
            </w: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8"/>
        </w:trPr>
        <w:tc>
          <w:tcPr>
            <w:tcW w:w="500" w:type="dxa"/>
            <w:vAlign w:val="bottom"/>
          </w:tcPr>
          <w:p>
            <w:pPr>
              <w:spacing w:after="0"/>
              <w:rPr>
                <w:sz w:val="19"/>
                <w:szCs w:val="19"/>
                <w:color w:val="auto"/>
              </w:rPr>
            </w:pPr>
          </w:p>
        </w:tc>
        <w:tc>
          <w:tcPr>
            <w:tcW w:w="3100" w:type="dxa"/>
            <w:vAlign w:val="bottom"/>
            <w:gridSpan w:val="2"/>
          </w:tcPr>
          <w:p>
            <w:pPr>
              <w:ind w:left="1200"/>
              <w:spacing w:after="0" w:line="160" w:lineRule="exact"/>
              <w:rPr>
                <w:sz w:val="20"/>
                <w:szCs w:val="20"/>
                <w:color w:val="auto"/>
              </w:rPr>
            </w:pPr>
            <w:r>
              <w:rPr>
                <w:rFonts w:ascii="黑体" w:cs="黑体" w:eastAsia="黑体" w:hAnsi="黑体"/>
                <w:sz w:val="14"/>
                <w:szCs w:val="14"/>
                <w:color w:val="auto"/>
              </w:rPr>
              <w:t>基础设施</w:t>
            </w:r>
          </w:p>
        </w:tc>
        <w:tc>
          <w:tcPr>
            <w:tcW w:w="2420" w:type="dxa"/>
            <w:vAlign w:val="bottom"/>
          </w:tcPr>
          <w:p>
            <w:pPr>
              <w:jc w:val="center"/>
              <w:ind w:left="102"/>
              <w:spacing w:after="0" w:line="206" w:lineRule="exact"/>
              <w:rPr>
                <w:sz w:val="20"/>
                <w:szCs w:val="20"/>
                <w:color w:val="auto"/>
              </w:rPr>
            </w:pPr>
            <w:r>
              <w:rPr>
                <w:rFonts w:ascii="黑体" w:cs="黑体" w:eastAsia="黑体" w:hAnsi="黑体"/>
                <w:sz w:val="18"/>
                <w:szCs w:val="18"/>
                <w:color w:val="auto"/>
                <w:w w:val="96"/>
              </w:rPr>
              <w:t>用系统</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4"/>
        </w:trPr>
        <w:tc>
          <w:tcPr>
            <w:tcW w:w="5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2420" w:type="dxa"/>
            <w:vAlign w:val="bottom"/>
          </w:tcPr>
          <w:p>
            <w:pPr>
              <w:jc w:val="center"/>
              <w:ind w:left="102"/>
              <w:spacing w:after="0" w:line="160" w:lineRule="exact"/>
              <w:rPr>
                <w:sz w:val="20"/>
                <w:szCs w:val="20"/>
                <w:color w:val="auto"/>
              </w:rPr>
            </w:pPr>
            <w:r>
              <w:rPr>
                <w:rFonts w:ascii="黑体" w:cs="黑体" w:eastAsia="黑体" w:hAnsi="黑体"/>
                <w:sz w:val="14"/>
                <w:szCs w:val="14"/>
                <w:color w:val="auto"/>
              </w:rPr>
              <w:t>（包含住房公积金异</w:t>
            </w: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50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420" w:type="dxa"/>
            <w:vAlign w:val="bottom"/>
          </w:tcPr>
          <w:p>
            <w:pPr>
              <w:jc w:val="center"/>
              <w:ind w:left="102"/>
              <w:spacing w:after="0" w:line="160" w:lineRule="exact"/>
              <w:rPr>
                <w:sz w:val="20"/>
                <w:szCs w:val="20"/>
                <w:color w:val="auto"/>
              </w:rPr>
            </w:pPr>
            <w:r>
              <w:rPr>
                <w:rFonts w:ascii="黑体" w:cs="黑体" w:eastAsia="黑体" w:hAnsi="黑体"/>
                <w:sz w:val="14"/>
                <w:szCs w:val="14"/>
                <w:color w:val="auto"/>
              </w:rPr>
              <w:t>地转移接续、贷款功</w:t>
            </w: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80"/>
        </w:trPr>
        <w:tc>
          <w:tcPr>
            <w:tcW w:w="500" w:type="dxa"/>
            <w:vAlign w:val="bottom"/>
          </w:tcPr>
          <w:p>
            <w:pPr>
              <w:spacing w:after="0"/>
              <w:rPr>
                <w:sz w:val="24"/>
                <w:szCs w:val="24"/>
                <w:color w:val="auto"/>
              </w:rPr>
            </w:pPr>
          </w:p>
        </w:tc>
        <w:tc>
          <w:tcPr>
            <w:tcW w:w="1560" w:type="dxa"/>
            <w:vAlign w:val="bottom"/>
          </w:tcPr>
          <w:p>
            <w:pPr>
              <w:jc w:val="center"/>
              <w:ind w:left="162"/>
              <w:spacing w:after="0" w:line="278" w:lineRule="exact"/>
              <w:rPr>
                <w:sz w:val="20"/>
                <w:szCs w:val="20"/>
                <w:color w:val="auto"/>
              </w:rPr>
            </w:pPr>
            <w:r>
              <w:rPr>
                <w:rFonts w:ascii="微软雅黑" w:cs="微软雅黑" w:eastAsia="微软雅黑" w:hAnsi="微软雅黑"/>
                <w:sz w:val="21"/>
                <w:szCs w:val="21"/>
                <w:b w:val="1"/>
                <w:bCs w:val="1"/>
                <w:color w:val="auto"/>
                <w:w w:val="97"/>
              </w:rPr>
              <w:t>公积金中心</w:t>
            </w:r>
            <w:r>
              <w:rPr>
                <w:rFonts w:ascii="Microsoft Sans Serif" w:cs="Microsoft Sans Serif" w:eastAsia="Microsoft Sans Serif" w:hAnsi="Microsoft Sans Serif"/>
                <w:sz w:val="21"/>
                <w:szCs w:val="21"/>
                <w:b w:val="1"/>
                <w:bCs w:val="1"/>
                <w:color w:val="auto"/>
                <w:w w:val="97"/>
              </w:rPr>
              <w:t>B</w:t>
            </w:r>
          </w:p>
        </w:tc>
        <w:tc>
          <w:tcPr>
            <w:tcW w:w="1540" w:type="dxa"/>
            <w:vAlign w:val="bottom"/>
          </w:tcPr>
          <w:p>
            <w:pPr>
              <w:spacing w:after="0"/>
              <w:rPr>
                <w:sz w:val="24"/>
                <w:szCs w:val="24"/>
                <w:color w:val="auto"/>
              </w:rPr>
            </w:pPr>
          </w:p>
        </w:tc>
        <w:tc>
          <w:tcPr>
            <w:tcW w:w="2420" w:type="dxa"/>
            <w:vAlign w:val="bottom"/>
          </w:tcPr>
          <w:p>
            <w:pPr>
              <w:jc w:val="center"/>
              <w:ind w:left="82"/>
              <w:spacing w:after="0" w:line="160" w:lineRule="exact"/>
              <w:rPr>
                <w:sz w:val="20"/>
                <w:szCs w:val="20"/>
                <w:color w:val="auto"/>
              </w:rPr>
            </w:pPr>
            <w:r>
              <w:rPr>
                <w:rFonts w:ascii="黑体" w:cs="黑体" w:eastAsia="黑体" w:hAnsi="黑体"/>
                <w:sz w:val="14"/>
                <w:szCs w:val="14"/>
                <w:color w:val="auto"/>
              </w:rPr>
              <w:t>能）</w:t>
            </w:r>
          </w:p>
        </w:tc>
        <w:tc>
          <w:tcPr>
            <w:tcW w:w="1040" w:type="dxa"/>
            <w:vAlign w:val="bottom"/>
          </w:tcPr>
          <w:p>
            <w:pPr>
              <w:jc w:val="center"/>
              <w:ind w:left="352"/>
              <w:spacing w:after="0" w:line="186" w:lineRule="exact"/>
              <w:rPr>
                <w:sz w:val="20"/>
                <w:szCs w:val="20"/>
                <w:color w:val="auto"/>
              </w:rPr>
            </w:pPr>
            <w:r>
              <w:rPr>
                <w:rFonts w:ascii="黑体" w:cs="黑体" w:eastAsia="黑体" w:hAnsi="黑体"/>
                <w:sz w:val="18"/>
                <w:szCs w:val="18"/>
                <w:b w:val="1"/>
                <w:bCs w:val="1"/>
                <w:color w:val="auto"/>
                <w:w w:val="97"/>
              </w:rPr>
              <w:t>银行B</w:t>
            </w:r>
          </w:p>
        </w:tc>
        <w:tc>
          <w:tcPr>
            <w:tcW w:w="0" w:type="dxa"/>
            <w:vAlign w:val="bottom"/>
          </w:tcPr>
          <w:p>
            <w:pPr>
              <w:spacing w:after="0"/>
              <w:rPr>
                <w:sz w:val="1"/>
                <w:szCs w:val="1"/>
                <w:color w:val="auto"/>
              </w:rPr>
            </w:pPr>
          </w:p>
        </w:tc>
      </w:tr>
      <w:tr>
        <w:trPr>
          <w:trHeight w:val="352"/>
        </w:trPr>
        <w:tc>
          <w:tcPr>
            <w:tcW w:w="500" w:type="dxa"/>
            <w:vAlign w:val="bottom"/>
          </w:tcPr>
          <w:p>
            <w:pPr>
              <w:spacing w:after="0"/>
              <w:rPr>
                <w:sz w:val="24"/>
                <w:szCs w:val="24"/>
                <w:color w:val="auto"/>
              </w:rPr>
            </w:pPr>
          </w:p>
        </w:tc>
        <w:tc>
          <w:tcPr>
            <w:tcW w:w="1560" w:type="dxa"/>
            <w:vAlign w:val="bottom"/>
          </w:tcPr>
          <w:p>
            <w:pPr>
              <w:ind w:left="1160"/>
              <w:spacing w:after="0" w:line="137" w:lineRule="exact"/>
              <w:rPr>
                <w:sz w:val="20"/>
                <w:szCs w:val="20"/>
                <w:color w:val="auto"/>
              </w:rPr>
            </w:pPr>
            <w:r>
              <w:rPr>
                <w:rFonts w:ascii="黑体" w:cs="黑体" w:eastAsia="黑体" w:hAnsi="黑体"/>
                <w:sz w:val="12"/>
                <w:szCs w:val="12"/>
                <w:b w:val="1"/>
                <w:bCs w:val="1"/>
                <w:color w:val="auto"/>
              </w:rPr>
              <w:t>……</w:t>
            </w:r>
          </w:p>
        </w:tc>
        <w:tc>
          <w:tcPr>
            <w:tcW w:w="15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8"/>
        </w:trPr>
        <w:tc>
          <w:tcPr>
            <w:tcW w:w="500" w:type="dxa"/>
            <w:vAlign w:val="bottom"/>
          </w:tcPr>
          <w:p>
            <w:pPr>
              <w:spacing w:after="0"/>
              <w:rPr>
                <w:sz w:val="24"/>
                <w:szCs w:val="24"/>
                <w:color w:val="auto"/>
              </w:rPr>
            </w:pPr>
          </w:p>
        </w:tc>
        <w:tc>
          <w:tcPr>
            <w:tcW w:w="1560" w:type="dxa"/>
            <w:vAlign w:val="bottom"/>
          </w:tcPr>
          <w:p>
            <w:pPr>
              <w:jc w:val="center"/>
              <w:ind w:left="162"/>
              <w:spacing w:after="0" w:line="278" w:lineRule="exact"/>
              <w:rPr>
                <w:sz w:val="20"/>
                <w:szCs w:val="20"/>
                <w:color w:val="auto"/>
              </w:rPr>
            </w:pPr>
            <w:r>
              <w:rPr>
                <w:rFonts w:ascii="微软雅黑" w:cs="微软雅黑" w:eastAsia="微软雅黑" w:hAnsi="微软雅黑"/>
                <w:sz w:val="21"/>
                <w:szCs w:val="21"/>
                <w:b w:val="1"/>
                <w:bCs w:val="1"/>
                <w:color w:val="auto"/>
                <w:w w:val="97"/>
              </w:rPr>
              <w:t>公积金中心</w:t>
            </w:r>
            <w:r>
              <w:rPr>
                <w:rFonts w:ascii="Microsoft Sans Serif" w:cs="Microsoft Sans Serif" w:eastAsia="Microsoft Sans Serif" w:hAnsi="Microsoft Sans Serif"/>
                <w:sz w:val="21"/>
                <w:szCs w:val="21"/>
                <w:b w:val="1"/>
                <w:bCs w:val="1"/>
                <w:color w:val="auto"/>
                <w:w w:val="97"/>
              </w:rPr>
              <w:t>...</w:t>
            </w:r>
          </w:p>
        </w:tc>
        <w:tc>
          <w:tcPr>
            <w:tcW w:w="15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1040" w:type="dxa"/>
            <w:vAlign w:val="bottom"/>
          </w:tcPr>
          <w:p>
            <w:pPr>
              <w:jc w:val="center"/>
              <w:ind w:left="332"/>
              <w:spacing w:after="0" w:line="206" w:lineRule="exact"/>
              <w:rPr>
                <w:sz w:val="20"/>
                <w:szCs w:val="20"/>
                <w:color w:val="auto"/>
              </w:rPr>
            </w:pPr>
            <w:r>
              <w:rPr>
                <w:rFonts w:ascii="黑体" w:cs="黑体" w:eastAsia="黑体" w:hAnsi="黑体"/>
                <w:sz w:val="18"/>
                <w:szCs w:val="18"/>
                <w:b w:val="1"/>
                <w:bCs w:val="1"/>
                <w:color w:val="auto"/>
                <w:w w:val="98"/>
              </w:rPr>
              <w:t>银行...</w:t>
            </w:r>
          </w:p>
        </w:tc>
        <w:tc>
          <w:tcPr>
            <w:tcW w:w="0" w:type="dxa"/>
            <w:vAlign w:val="bottom"/>
          </w:tcPr>
          <w:p>
            <w:pPr>
              <w:spacing w:after="0"/>
              <w:rPr>
                <w:sz w:val="1"/>
                <w:szCs w:val="1"/>
                <w:color w:val="auto"/>
              </w:rPr>
            </w:pPr>
          </w:p>
        </w:tc>
      </w:tr>
      <w:tr>
        <w:trPr>
          <w:trHeight w:val="352"/>
        </w:trPr>
        <w:tc>
          <w:tcPr>
            <w:tcW w:w="500" w:type="dxa"/>
            <w:vAlign w:val="bottom"/>
          </w:tcPr>
          <w:p>
            <w:pPr>
              <w:spacing w:after="0"/>
              <w:rPr>
                <w:sz w:val="24"/>
                <w:szCs w:val="24"/>
                <w:color w:val="auto"/>
              </w:rPr>
            </w:pPr>
          </w:p>
        </w:tc>
        <w:tc>
          <w:tcPr>
            <w:tcW w:w="1560" w:type="dxa"/>
            <w:vAlign w:val="bottom"/>
          </w:tcPr>
          <w:p>
            <w:pPr>
              <w:ind w:left="1160"/>
              <w:spacing w:after="0" w:line="137" w:lineRule="exact"/>
              <w:rPr>
                <w:sz w:val="20"/>
                <w:szCs w:val="20"/>
                <w:color w:val="auto"/>
              </w:rPr>
            </w:pPr>
            <w:r>
              <w:rPr>
                <w:rFonts w:ascii="黑体" w:cs="黑体" w:eastAsia="黑体" w:hAnsi="黑体"/>
                <w:sz w:val="12"/>
                <w:szCs w:val="12"/>
                <w:b w:val="1"/>
                <w:bCs w:val="1"/>
                <w:color w:val="auto"/>
              </w:rPr>
              <w:t>……</w:t>
            </w:r>
          </w:p>
        </w:tc>
        <w:tc>
          <w:tcPr>
            <w:tcW w:w="154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-2698115</wp:posOffset>
            </wp:positionV>
            <wp:extent cx="4589780" cy="2823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589780" cy="28232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4440"/>
        <w:spacing w:after="0" w:line="274" w:lineRule="exact"/>
        <w:rPr>
          <w:sz w:val="20"/>
          <w:szCs w:val="20"/>
          <w:color w:val="auto"/>
        </w:rPr>
      </w:pPr>
      <w:r>
        <w:rPr>
          <w:rFonts w:ascii="宋体" w:cs="宋体" w:eastAsia="宋体" w:hAnsi="宋体"/>
          <w:sz w:val="24"/>
          <w:szCs w:val="24"/>
          <w:color w:val="auto"/>
        </w:rPr>
        <w:t>- 18 -</w:t>
      </w:r>
    </w:p>
    <w:p>
      <w:pPr>
        <w:sectPr>
          <w:pgSz w:w="11900" w:h="16840" w:orient="portrait"/>
          <w:cols w:equalWidth="0" w:num="1">
            <w:col w:w="9040"/>
          </w:cols>
          <w:pgMar w:left="1440" w:top="1440" w:right="1424" w:bottom="467" w:gutter="0" w:footer="0" w:header="0"/>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4620"/>
        <w:spacing w:after="0" w:line="411" w:lineRule="exact"/>
        <w:rPr>
          <w:sz w:val="20"/>
          <w:szCs w:val="20"/>
          <w:color w:val="auto"/>
        </w:rPr>
      </w:pPr>
      <w:r>
        <w:rPr>
          <w:rFonts w:ascii="黑体" w:cs="黑体" w:eastAsia="黑体" w:hAnsi="黑体"/>
          <w:sz w:val="36"/>
          <w:szCs w:val="36"/>
          <w:color w:val="auto"/>
        </w:rPr>
        <w:t>附录二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540" w:right="480" w:firstLine="640"/>
        <w:spacing w:after="0" w:line="463" w:lineRule="exact"/>
        <w:rPr>
          <w:sz w:val="20"/>
          <w:szCs w:val="20"/>
          <w:color w:val="auto"/>
        </w:rPr>
      </w:pPr>
      <w:r>
        <w:rPr>
          <w:rFonts w:ascii="仿宋" w:cs="仿宋" w:eastAsia="仿宋" w:hAnsi="仿宋"/>
          <w:sz w:val="32"/>
          <w:szCs w:val="32"/>
          <w:color w:val="auto"/>
        </w:rPr>
        <w:t>公积金中心规模与住房公积金信息系统主机服务器设备推荐配置表</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tbl>
      <w:tblPr>
        <w:tblLayout w:type="fixed"/>
        <w:tblInd w:w="450" w:type="dxa"/>
        <w:tblCellMar>
          <w:top w:w="0" w:type="dxa"/>
          <w:left w:w="0" w:type="dxa"/>
          <w:bottom w:w="0" w:type="dxa"/>
          <w:right w:w="0" w:type="dxa"/>
        </w:tblCellMar>
      </w:tblPr>
      <w:tr>
        <w:trPr>
          <w:trHeight w:val="448"/>
        </w:trPr>
        <w:tc>
          <w:tcPr>
            <w:tcW w:w="980" w:type="dxa"/>
            <w:vAlign w:val="bottom"/>
            <w:tcBorders>
              <w:top w:val="single" w:sz="8" w:color="auto"/>
              <w:left w:val="single" w:sz="8" w:color="auto"/>
              <w:right w:val="single" w:sz="8" w:color="auto"/>
            </w:tcBorders>
          </w:tcPr>
          <w:p>
            <w:pPr>
              <w:ind w:left="100"/>
              <w:spacing w:after="0" w:line="240" w:lineRule="exact"/>
              <w:rPr>
                <w:sz w:val="20"/>
                <w:szCs w:val="20"/>
                <w:color w:val="auto"/>
              </w:rPr>
            </w:pPr>
            <w:r>
              <w:rPr>
                <w:rFonts w:ascii="仿宋" w:cs="仿宋" w:eastAsia="仿宋" w:hAnsi="仿宋"/>
                <w:sz w:val="21"/>
                <w:szCs w:val="21"/>
                <w:color w:val="auto"/>
              </w:rPr>
              <w:t>缴存人</w:t>
            </w:r>
          </w:p>
        </w:tc>
        <w:tc>
          <w:tcPr>
            <w:tcW w:w="1120" w:type="dxa"/>
            <w:vAlign w:val="bottom"/>
            <w:tcBorders>
              <w:top w:val="single" w:sz="8" w:color="auto"/>
              <w:right w:val="single" w:sz="8" w:color="auto"/>
            </w:tcBorders>
            <w:vMerge w:val="restart"/>
          </w:tcPr>
          <w:p>
            <w:pPr>
              <w:ind w:left="80"/>
              <w:spacing w:after="0" w:line="240" w:lineRule="exact"/>
              <w:rPr>
                <w:sz w:val="20"/>
                <w:szCs w:val="20"/>
                <w:color w:val="auto"/>
              </w:rPr>
            </w:pPr>
            <w:r>
              <w:rPr>
                <w:rFonts w:ascii="仿宋" w:cs="仿宋" w:eastAsia="仿宋" w:hAnsi="仿宋"/>
                <w:sz w:val="21"/>
                <w:szCs w:val="21"/>
                <w:color w:val="auto"/>
              </w:rPr>
              <w:t>日均交易</w:t>
            </w:r>
          </w:p>
        </w:tc>
        <w:tc>
          <w:tcPr>
            <w:tcW w:w="1140" w:type="dxa"/>
            <w:vAlign w:val="bottom"/>
            <w:tcBorders>
              <w:top w:val="single" w:sz="8" w:color="auto"/>
              <w:right w:val="single" w:sz="8" w:color="auto"/>
            </w:tcBorders>
          </w:tcPr>
          <w:p>
            <w:pPr>
              <w:ind w:left="100"/>
              <w:spacing w:after="0" w:line="240" w:lineRule="exact"/>
              <w:rPr>
                <w:sz w:val="20"/>
                <w:szCs w:val="20"/>
                <w:color w:val="auto"/>
              </w:rPr>
            </w:pPr>
            <w:r>
              <w:rPr>
                <w:rFonts w:ascii="仿宋" w:cs="仿宋" w:eastAsia="仿宋" w:hAnsi="仿宋"/>
                <w:sz w:val="21"/>
                <w:szCs w:val="21"/>
                <w:color w:val="auto"/>
              </w:rPr>
              <w:t>平均每秒</w:t>
            </w:r>
          </w:p>
        </w:tc>
        <w:tc>
          <w:tcPr>
            <w:tcW w:w="1140" w:type="dxa"/>
            <w:vAlign w:val="bottom"/>
            <w:tcBorders>
              <w:top w:val="single" w:sz="8" w:color="auto"/>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9"/>
              </w:rPr>
              <w:t>峰值每秒</w:t>
            </w:r>
          </w:p>
        </w:tc>
        <w:tc>
          <w:tcPr>
            <w:tcW w:w="980" w:type="dxa"/>
            <w:vAlign w:val="bottom"/>
            <w:tcBorders>
              <w:top w:val="single" w:sz="8" w:color="auto"/>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8"/>
              </w:rPr>
              <w:t>建议服</w:t>
            </w:r>
          </w:p>
        </w:tc>
        <w:tc>
          <w:tcPr>
            <w:tcW w:w="860" w:type="dxa"/>
            <w:vAlign w:val="bottom"/>
            <w:tcBorders>
              <w:top w:val="single" w:sz="8" w:color="auto"/>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rPr>
              <w:t>建议服</w:t>
            </w:r>
          </w:p>
        </w:tc>
        <w:tc>
          <w:tcPr>
            <w:tcW w:w="156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建议服务器</w:t>
            </w:r>
          </w:p>
        </w:tc>
        <w:tc>
          <w:tcPr>
            <w:tcW w:w="1120" w:type="dxa"/>
            <w:vAlign w:val="bottom"/>
            <w:tcBorders>
              <w:top w:val="single" w:sz="8" w:color="auto"/>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9"/>
              </w:rPr>
              <w:t>建议高速</w:t>
            </w:r>
          </w:p>
        </w:tc>
        <w:tc>
          <w:tcPr>
            <w:tcW w:w="0" w:type="dxa"/>
            <w:vAlign w:val="bottom"/>
          </w:tcPr>
          <w:p>
            <w:pPr>
              <w:spacing w:after="0"/>
              <w:rPr>
                <w:sz w:val="1"/>
                <w:szCs w:val="1"/>
                <w:color w:val="auto"/>
              </w:rPr>
            </w:pPr>
          </w:p>
        </w:tc>
      </w:tr>
      <w:tr>
        <w:trPr>
          <w:trHeight w:val="137"/>
        </w:trPr>
        <w:tc>
          <w:tcPr>
            <w:tcW w:w="980" w:type="dxa"/>
            <w:vAlign w:val="bottom"/>
            <w:tcBorders>
              <w:left w:val="single" w:sz="8" w:color="auto"/>
              <w:right w:val="single" w:sz="8" w:color="auto"/>
            </w:tcBorders>
            <w:vMerge w:val="restart"/>
          </w:tcPr>
          <w:p>
            <w:pPr>
              <w:ind w:left="100"/>
              <w:spacing w:after="0" w:line="240" w:lineRule="exact"/>
              <w:rPr>
                <w:sz w:val="20"/>
                <w:szCs w:val="20"/>
                <w:color w:val="auto"/>
              </w:rPr>
            </w:pPr>
            <w:r>
              <w:rPr>
                <w:rFonts w:ascii="仿宋" w:cs="仿宋" w:eastAsia="仿宋" w:hAnsi="仿宋"/>
                <w:sz w:val="21"/>
                <w:szCs w:val="21"/>
                <w:color w:val="auto"/>
              </w:rPr>
              <w:t>数(万</w:t>
            </w:r>
          </w:p>
        </w:tc>
        <w:tc>
          <w:tcPr>
            <w:tcW w:w="112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vMerge w:val="restart"/>
          </w:tcPr>
          <w:p>
            <w:pPr>
              <w:ind w:left="100"/>
              <w:spacing w:after="0" w:line="240" w:lineRule="exact"/>
              <w:rPr>
                <w:sz w:val="20"/>
                <w:szCs w:val="20"/>
                <w:color w:val="auto"/>
              </w:rPr>
            </w:pPr>
            <w:r>
              <w:rPr>
                <w:rFonts w:ascii="仿宋" w:cs="仿宋" w:eastAsia="仿宋" w:hAnsi="仿宋"/>
                <w:sz w:val="21"/>
                <w:szCs w:val="21"/>
                <w:color w:val="auto"/>
              </w:rPr>
              <w:t>处理事务</w:t>
            </w:r>
          </w:p>
        </w:tc>
        <w:tc>
          <w:tcPr>
            <w:tcW w:w="114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处理事务</w:t>
            </w:r>
          </w:p>
        </w:tc>
        <w:tc>
          <w:tcPr>
            <w:tcW w:w="980" w:type="dxa"/>
            <w:vAlign w:val="bottom"/>
            <w:tcBorders>
              <w:right w:val="single" w:sz="8" w:color="auto"/>
            </w:tcBorders>
            <w:vMerge w:val="restart"/>
          </w:tcPr>
          <w:p>
            <w:pPr>
              <w:ind w:left="80"/>
              <w:spacing w:after="0" w:line="240" w:lineRule="exact"/>
              <w:rPr>
                <w:sz w:val="20"/>
                <w:szCs w:val="20"/>
                <w:color w:val="auto"/>
              </w:rPr>
            </w:pPr>
            <w:r>
              <w:rPr>
                <w:rFonts w:ascii="仿宋" w:cs="仿宋" w:eastAsia="仿宋" w:hAnsi="仿宋"/>
                <w:sz w:val="21"/>
                <w:szCs w:val="21"/>
                <w:color w:val="auto"/>
              </w:rPr>
              <w:t>务器 CPU</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务器内</w:t>
            </w:r>
          </w:p>
        </w:tc>
        <w:tc>
          <w:tcPr>
            <w:tcW w:w="1560" w:type="dxa"/>
            <w:vAlign w:val="bottom"/>
            <w:tcBorders>
              <w:right w:val="single" w:sz="8" w:color="auto"/>
            </w:tcBorders>
            <w:vMerge w:val="continue"/>
          </w:tcPr>
          <w:p>
            <w:pPr>
              <w:spacing w:after="0"/>
              <w:rPr>
                <w:sz w:val="11"/>
                <w:szCs w:val="11"/>
                <w:color w:val="auto"/>
              </w:rPr>
            </w:pP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存储容量</w:t>
            </w:r>
          </w:p>
        </w:tc>
        <w:tc>
          <w:tcPr>
            <w:tcW w:w="0" w:type="dxa"/>
            <w:vAlign w:val="bottom"/>
          </w:tcPr>
          <w:p>
            <w:pPr>
              <w:spacing w:after="0"/>
              <w:rPr>
                <w:sz w:val="1"/>
                <w:szCs w:val="1"/>
                <w:color w:val="auto"/>
              </w:rPr>
            </w:pPr>
          </w:p>
        </w:tc>
      </w:tr>
      <w:tr>
        <w:trPr>
          <w:trHeight w:val="136"/>
        </w:trPr>
        <w:tc>
          <w:tcPr>
            <w:tcW w:w="980" w:type="dxa"/>
            <w:vAlign w:val="bottom"/>
            <w:tcBorders>
              <w:left w:val="single" w:sz="8" w:color="auto"/>
              <w:right w:val="single" w:sz="8" w:color="auto"/>
            </w:tcBorders>
            <w:vMerge w:val="continue"/>
          </w:tcPr>
          <w:p>
            <w:pPr>
              <w:spacing w:after="0"/>
              <w:rPr>
                <w:sz w:val="11"/>
                <w:szCs w:val="11"/>
                <w:color w:val="auto"/>
              </w:rPr>
            </w:pPr>
          </w:p>
        </w:tc>
        <w:tc>
          <w:tcPr>
            <w:tcW w:w="1120" w:type="dxa"/>
            <w:vAlign w:val="bottom"/>
            <w:tcBorders>
              <w:right w:val="single" w:sz="8" w:color="auto"/>
            </w:tcBorders>
            <w:vMerge w:val="restart"/>
          </w:tcPr>
          <w:p>
            <w:pPr>
              <w:ind w:left="80"/>
              <w:spacing w:after="0" w:line="240" w:lineRule="exact"/>
              <w:rPr>
                <w:sz w:val="20"/>
                <w:szCs w:val="20"/>
                <w:color w:val="auto"/>
              </w:rPr>
            </w:pPr>
            <w:r>
              <w:rPr>
                <w:rFonts w:ascii="仿宋" w:cs="仿宋" w:eastAsia="仿宋" w:hAnsi="仿宋"/>
                <w:sz w:val="21"/>
                <w:szCs w:val="21"/>
                <w:color w:val="auto"/>
                <w:w w:val="95"/>
              </w:rPr>
              <w:t>量（万笔）</w:t>
            </w:r>
          </w:p>
        </w:tc>
        <w:tc>
          <w:tcPr>
            <w:tcW w:w="114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vMerge w:val="continue"/>
          </w:tcPr>
          <w:p>
            <w:pPr>
              <w:spacing w:after="0"/>
              <w:rPr>
                <w:sz w:val="11"/>
                <w:szCs w:val="11"/>
                <w:color w:val="auto"/>
              </w:rPr>
            </w:pPr>
          </w:p>
        </w:tc>
        <w:tc>
          <w:tcPr>
            <w:tcW w:w="980" w:type="dxa"/>
            <w:vAlign w:val="bottom"/>
            <w:tcBorders>
              <w:right w:val="single" w:sz="8" w:color="auto"/>
            </w:tcBorders>
            <w:vMerge w:val="continue"/>
          </w:tcPr>
          <w:p>
            <w:pPr>
              <w:spacing w:after="0"/>
              <w:rPr>
                <w:sz w:val="11"/>
                <w:szCs w:val="11"/>
                <w:color w:val="auto"/>
              </w:rPr>
            </w:pPr>
          </w:p>
        </w:tc>
        <w:tc>
          <w:tcPr>
            <w:tcW w:w="860" w:type="dxa"/>
            <w:vAlign w:val="bottom"/>
            <w:tcBorders>
              <w:right w:val="single" w:sz="8" w:color="auto"/>
            </w:tcBorders>
            <w:vMerge w:val="continue"/>
          </w:tcPr>
          <w:p>
            <w:pPr>
              <w:spacing w:after="0"/>
              <w:rPr>
                <w:sz w:val="11"/>
                <w:szCs w:val="11"/>
                <w:color w:val="auto"/>
              </w:rPr>
            </w:pPr>
          </w:p>
        </w:tc>
        <w:tc>
          <w:tcPr>
            <w:tcW w:w="156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（台）</w:t>
            </w:r>
          </w:p>
        </w:tc>
        <w:tc>
          <w:tcPr>
            <w:tcW w:w="11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980" w:type="dxa"/>
            <w:vAlign w:val="bottom"/>
            <w:tcBorders>
              <w:left w:val="single" w:sz="8" w:color="auto"/>
              <w:right w:val="single" w:sz="8" w:color="auto"/>
            </w:tcBorders>
            <w:vMerge w:val="restart"/>
          </w:tcPr>
          <w:p>
            <w:pPr>
              <w:ind w:left="100"/>
              <w:spacing w:after="0" w:line="240" w:lineRule="exact"/>
              <w:rPr>
                <w:sz w:val="20"/>
                <w:szCs w:val="20"/>
                <w:color w:val="auto"/>
              </w:rPr>
            </w:pPr>
            <w:r>
              <w:rPr>
                <w:rFonts w:ascii="仿宋" w:cs="仿宋" w:eastAsia="仿宋" w:hAnsi="仿宋"/>
                <w:sz w:val="21"/>
                <w:szCs w:val="21"/>
                <w:color w:val="auto"/>
              </w:rPr>
              <w:t>人）</w:t>
            </w:r>
          </w:p>
        </w:tc>
        <w:tc>
          <w:tcPr>
            <w:tcW w:w="112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vMerge w:val="restart"/>
          </w:tcPr>
          <w:p>
            <w:pPr>
              <w:ind w:left="100"/>
              <w:spacing w:after="0" w:line="240" w:lineRule="exact"/>
              <w:rPr>
                <w:sz w:val="20"/>
                <w:szCs w:val="20"/>
                <w:color w:val="auto"/>
              </w:rPr>
            </w:pPr>
            <w:r>
              <w:rPr>
                <w:rFonts w:ascii="仿宋" w:cs="仿宋" w:eastAsia="仿宋" w:hAnsi="仿宋"/>
                <w:sz w:val="21"/>
                <w:szCs w:val="21"/>
                <w:color w:val="auto"/>
              </w:rPr>
              <w:t>数（TPS）</w:t>
            </w:r>
          </w:p>
        </w:tc>
        <w:tc>
          <w:tcPr>
            <w:tcW w:w="1140" w:type="dxa"/>
            <w:vAlign w:val="bottom"/>
            <w:tcBorders>
              <w:right w:val="single" w:sz="8" w:color="auto"/>
            </w:tcBorders>
            <w:vMerge w:val="restart"/>
          </w:tcPr>
          <w:p>
            <w:pPr>
              <w:ind w:left="100"/>
              <w:spacing w:after="0" w:line="240" w:lineRule="exact"/>
              <w:rPr>
                <w:sz w:val="20"/>
                <w:szCs w:val="20"/>
                <w:color w:val="auto"/>
              </w:rPr>
            </w:pPr>
            <w:r>
              <w:rPr>
                <w:rFonts w:ascii="仿宋" w:cs="仿宋" w:eastAsia="仿宋" w:hAnsi="仿宋"/>
                <w:sz w:val="21"/>
                <w:szCs w:val="21"/>
                <w:color w:val="auto"/>
              </w:rPr>
              <w:t>数（TPS）</w:t>
            </w:r>
          </w:p>
        </w:tc>
        <w:tc>
          <w:tcPr>
            <w:tcW w:w="980" w:type="dxa"/>
            <w:vAlign w:val="bottom"/>
            <w:tcBorders>
              <w:right w:val="single" w:sz="8" w:color="auto"/>
            </w:tcBorders>
            <w:vMerge w:val="restart"/>
          </w:tcPr>
          <w:p>
            <w:pPr>
              <w:ind w:left="80"/>
              <w:spacing w:after="0" w:line="240" w:lineRule="exact"/>
              <w:rPr>
                <w:sz w:val="20"/>
                <w:szCs w:val="20"/>
                <w:color w:val="auto"/>
              </w:rPr>
            </w:pPr>
            <w:r>
              <w:rPr>
                <w:rFonts w:ascii="仿宋" w:cs="仿宋" w:eastAsia="仿宋" w:hAnsi="仿宋"/>
                <w:sz w:val="21"/>
                <w:szCs w:val="21"/>
                <w:color w:val="auto"/>
              </w:rPr>
              <w:t>数（个）</w:t>
            </w:r>
          </w:p>
        </w:tc>
        <w:tc>
          <w:tcPr>
            <w:tcW w:w="860" w:type="dxa"/>
            <w:vAlign w:val="bottom"/>
            <w:tcBorders>
              <w:right w:val="single" w:sz="8" w:color="auto"/>
            </w:tcBorders>
            <w:vMerge w:val="restart"/>
          </w:tcPr>
          <w:p>
            <w:pPr>
              <w:ind w:left="100"/>
              <w:spacing w:after="0" w:line="240" w:lineRule="exact"/>
              <w:rPr>
                <w:sz w:val="20"/>
                <w:szCs w:val="20"/>
                <w:color w:val="auto"/>
              </w:rPr>
            </w:pPr>
            <w:r>
              <w:rPr>
                <w:rFonts w:ascii="仿宋" w:cs="仿宋" w:eastAsia="仿宋" w:hAnsi="仿宋"/>
                <w:sz w:val="21"/>
                <w:szCs w:val="21"/>
                <w:color w:val="auto"/>
                <w:w w:val="97"/>
              </w:rPr>
              <w:t>存（G）</w:t>
            </w:r>
          </w:p>
        </w:tc>
        <w:tc>
          <w:tcPr>
            <w:tcW w:w="1560" w:type="dxa"/>
            <w:vAlign w:val="bottom"/>
            <w:tcBorders>
              <w:right w:val="single" w:sz="8" w:color="auto"/>
            </w:tcBorders>
            <w:vMerge w:val="continue"/>
          </w:tcPr>
          <w:p>
            <w:pPr>
              <w:spacing w:after="0"/>
              <w:rPr>
                <w:sz w:val="11"/>
                <w:szCs w:val="11"/>
                <w:color w:val="auto"/>
              </w:rPr>
            </w:pPr>
          </w:p>
        </w:tc>
        <w:tc>
          <w:tcPr>
            <w:tcW w:w="1120" w:type="dxa"/>
            <w:vAlign w:val="bottom"/>
            <w:tcBorders>
              <w:right w:val="single" w:sz="8" w:color="auto"/>
            </w:tcBorders>
            <w:vMerge w:val="restart"/>
          </w:tcPr>
          <w:p>
            <w:pPr>
              <w:ind w:left="380"/>
              <w:spacing w:after="0" w:line="240" w:lineRule="exact"/>
              <w:rPr>
                <w:sz w:val="20"/>
                <w:szCs w:val="20"/>
                <w:color w:val="auto"/>
              </w:rPr>
            </w:pPr>
            <w:r>
              <w:rPr>
                <w:rFonts w:ascii="仿宋" w:cs="仿宋" w:eastAsia="仿宋" w:hAnsi="仿宋"/>
                <w:sz w:val="21"/>
                <w:szCs w:val="21"/>
                <w:color w:val="auto"/>
              </w:rPr>
              <w:t>(T)</w:t>
            </w:r>
          </w:p>
        </w:tc>
        <w:tc>
          <w:tcPr>
            <w:tcW w:w="0" w:type="dxa"/>
            <w:vAlign w:val="bottom"/>
          </w:tcPr>
          <w:p>
            <w:pPr>
              <w:spacing w:after="0"/>
              <w:rPr>
                <w:sz w:val="1"/>
                <w:szCs w:val="1"/>
                <w:color w:val="auto"/>
              </w:rPr>
            </w:pPr>
          </w:p>
        </w:tc>
      </w:tr>
      <w:tr>
        <w:trPr>
          <w:trHeight w:val="137"/>
        </w:trPr>
        <w:tc>
          <w:tcPr>
            <w:tcW w:w="980" w:type="dxa"/>
            <w:vAlign w:val="bottom"/>
            <w:tcBorders>
              <w:left w:val="single" w:sz="8" w:color="auto"/>
              <w:right w:val="single" w:sz="8" w:color="auto"/>
            </w:tcBorders>
            <w:vMerge w:val="continue"/>
          </w:tcPr>
          <w:p>
            <w:pPr>
              <w:spacing w:after="0"/>
              <w:rPr>
                <w:sz w:val="11"/>
                <w:szCs w:val="11"/>
                <w:color w:val="auto"/>
              </w:rPr>
            </w:pPr>
          </w:p>
        </w:tc>
        <w:tc>
          <w:tcPr>
            <w:tcW w:w="112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vMerge w:val="continue"/>
          </w:tcPr>
          <w:p>
            <w:pPr>
              <w:spacing w:after="0"/>
              <w:rPr>
                <w:sz w:val="11"/>
                <w:szCs w:val="11"/>
                <w:color w:val="auto"/>
              </w:rPr>
            </w:pPr>
          </w:p>
        </w:tc>
        <w:tc>
          <w:tcPr>
            <w:tcW w:w="980" w:type="dxa"/>
            <w:vAlign w:val="bottom"/>
            <w:tcBorders>
              <w:right w:val="single" w:sz="8" w:color="auto"/>
            </w:tcBorders>
            <w:vMerge w:val="continue"/>
          </w:tcPr>
          <w:p>
            <w:pPr>
              <w:spacing w:after="0"/>
              <w:rPr>
                <w:sz w:val="11"/>
                <w:szCs w:val="11"/>
                <w:color w:val="auto"/>
              </w:rPr>
            </w:pPr>
          </w:p>
        </w:tc>
        <w:tc>
          <w:tcPr>
            <w:tcW w:w="860" w:type="dxa"/>
            <w:vAlign w:val="bottom"/>
            <w:tcBorders>
              <w:right w:val="single" w:sz="8" w:color="auto"/>
            </w:tcBorders>
            <w:vMerge w:val="continue"/>
          </w:tcPr>
          <w:p>
            <w:pPr>
              <w:spacing w:after="0"/>
              <w:rPr>
                <w:sz w:val="11"/>
                <w:szCs w:val="11"/>
                <w:color w:val="auto"/>
              </w:rPr>
            </w:pPr>
          </w:p>
        </w:tc>
        <w:tc>
          <w:tcPr>
            <w:tcW w:w="1560" w:type="dxa"/>
            <w:vAlign w:val="bottom"/>
            <w:tcBorders>
              <w:right w:val="single" w:sz="8" w:color="auto"/>
            </w:tcBorders>
          </w:tcPr>
          <w:p>
            <w:pPr>
              <w:spacing w:after="0"/>
              <w:rPr>
                <w:sz w:val="11"/>
                <w:szCs w:val="11"/>
                <w:color w:val="auto"/>
              </w:rPr>
            </w:pPr>
          </w:p>
        </w:tc>
        <w:tc>
          <w:tcPr>
            <w:tcW w:w="11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3"/>
        </w:trPr>
        <w:tc>
          <w:tcPr>
            <w:tcW w:w="980" w:type="dxa"/>
            <w:vAlign w:val="bottom"/>
            <w:tcBorders>
              <w:left w:val="single" w:sz="8" w:color="auto"/>
              <w:bottom w:val="single" w:sz="8" w:color="auto"/>
              <w:right w:val="single" w:sz="8" w:color="auto"/>
            </w:tcBorders>
          </w:tcPr>
          <w:p>
            <w:pPr>
              <w:spacing w:after="0"/>
              <w:rPr>
                <w:sz w:val="19"/>
                <w:szCs w:val="19"/>
                <w:color w:val="auto"/>
              </w:rPr>
            </w:pPr>
          </w:p>
        </w:tc>
        <w:tc>
          <w:tcPr>
            <w:tcW w:w="112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spacing w:after="0"/>
              <w:rPr>
                <w:sz w:val="19"/>
                <w:szCs w:val="19"/>
                <w:color w:val="auto"/>
              </w:rPr>
            </w:pPr>
          </w:p>
        </w:tc>
        <w:tc>
          <w:tcPr>
            <w:tcW w:w="980" w:type="dxa"/>
            <w:vAlign w:val="bottom"/>
            <w:tcBorders>
              <w:bottom w:val="single" w:sz="8" w:color="auto"/>
              <w:right w:val="single" w:sz="8" w:color="auto"/>
            </w:tcBorders>
          </w:tcPr>
          <w:p>
            <w:pPr>
              <w:spacing w:after="0"/>
              <w:rPr>
                <w:sz w:val="19"/>
                <w:szCs w:val="19"/>
                <w:color w:val="auto"/>
              </w:rPr>
            </w:pPr>
          </w:p>
        </w:tc>
        <w:tc>
          <w:tcPr>
            <w:tcW w:w="860" w:type="dxa"/>
            <w:vAlign w:val="bottom"/>
            <w:tcBorders>
              <w:bottom w:val="single" w:sz="8" w:color="auto"/>
              <w:right w:val="single" w:sz="8" w:color="auto"/>
            </w:tcBorders>
          </w:tcPr>
          <w:p>
            <w:pPr>
              <w:spacing w:after="0"/>
              <w:rPr>
                <w:sz w:val="19"/>
                <w:szCs w:val="19"/>
                <w:color w:val="auto"/>
              </w:rPr>
            </w:pPr>
          </w:p>
        </w:tc>
        <w:tc>
          <w:tcPr>
            <w:tcW w:w="1560" w:type="dxa"/>
            <w:vAlign w:val="bottom"/>
            <w:tcBorders>
              <w:bottom w:val="single" w:sz="8" w:color="auto"/>
              <w:right w:val="single" w:sz="8" w:color="auto"/>
            </w:tcBorders>
          </w:tcPr>
          <w:p>
            <w:pPr>
              <w:spacing w:after="0"/>
              <w:rPr>
                <w:sz w:val="19"/>
                <w:szCs w:val="19"/>
                <w:color w:val="auto"/>
              </w:rPr>
            </w:pPr>
          </w:p>
        </w:tc>
        <w:tc>
          <w:tcPr>
            <w:tcW w:w="1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4"/>
        </w:trPr>
        <w:tc>
          <w:tcPr>
            <w:tcW w:w="980" w:type="dxa"/>
            <w:vAlign w:val="bottom"/>
            <w:tcBorders>
              <w:left w:val="single" w:sz="8" w:color="auto"/>
              <w:right w:val="single" w:sz="8" w:color="auto"/>
            </w:tcBorders>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98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6"/>
              </w:rPr>
              <w:t>小型机*4 或高</w:t>
            </w:r>
          </w:p>
        </w:tc>
        <w:tc>
          <w:tcPr>
            <w:tcW w:w="1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31"/>
        </w:trPr>
        <w:tc>
          <w:tcPr>
            <w:tcW w:w="980" w:type="dxa"/>
            <w:vAlign w:val="bottom"/>
            <w:tcBorders>
              <w:left w:val="single" w:sz="8" w:color="auto"/>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1"/>
              </w:rPr>
              <w:t>300 以</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2"/>
              </w:rPr>
              <w:t>60 以上</w:t>
            </w:r>
          </w:p>
        </w:tc>
        <w:tc>
          <w:tcPr>
            <w:tcW w:w="114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2"/>
              </w:rPr>
              <w:t>22 以上</w:t>
            </w:r>
          </w:p>
        </w:tc>
        <w:tc>
          <w:tcPr>
            <w:tcW w:w="114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5"/>
              </w:rPr>
              <w:t>64 以上</w:t>
            </w:r>
          </w:p>
        </w:tc>
        <w:tc>
          <w:tcPr>
            <w:tcW w:w="98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4"/>
              </w:rPr>
              <w:t>8</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5"/>
              </w:rPr>
              <w:t>64</w:t>
            </w:r>
          </w:p>
        </w:tc>
        <w:tc>
          <w:tcPr>
            <w:tcW w:w="1560" w:type="dxa"/>
            <w:vAlign w:val="bottom"/>
            <w:tcBorders>
              <w:right w:val="single" w:sz="8" w:color="auto"/>
            </w:tcBorders>
          </w:tcPr>
          <w:p>
            <w:pPr>
              <w:ind w:left="80"/>
              <w:spacing w:after="0" w:line="240" w:lineRule="exact"/>
              <w:rPr>
                <w:sz w:val="20"/>
                <w:szCs w:val="20"/>
                <w:color w:val="auto"/>
              </w:rPr>
            </w:pPr>
            <w:r>
              <w:rPr>
                <w:rFonts w:ascii="仿宋" w:cs="仿宋" w:eastAsia="仿宋" w:hAnsi="仿宋"/>
                <w:sz w:val="21"/>
                <w:szCs w:val="21"/>
                <w:color w:val="auto"/>
                <w:w w:val="97"/>
              </w:rPr>
              <w:t>端 PC 服务器*6</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5"/>
              </w:rPr>
              <w:t>100T 以上</w:t>
            </w:r>
          </w:p>
        </w:tc>
        <w:tc>
          <w:tcPr>
            <w:tcW w:w="0" w:type="dxa"/>
            <w:vAlign w:val="bottom"/>
          </w:tcPr>
          <w:p>
            <w:pPr>
              <w:spacing w:after="0"/>
              <w:rPr>
                <w:sz w:val="1"/>
                <w:szCs w:val="1"/>
                <w:color w:val="auto"/>
              </w:rPr>
            </w:pPr>
          </w:p>
        </w:tc>
      </w:tr>
      <w:tr>
        <w:trPr>
          <w:trHeight w:val="137"/>
        </w:trPr>
        <w:tc>
          <w:tcPr>
            <w:tcW w:w="9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5"/>
              </w:rPr>
              <w:t>上</w:t>
            </w:r>
          </w:p>
        </w:tc>
        <w:tc>
          <w:tcPr>
            <w:tcW w:w="112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vMerge w:val="continue"/>
          </w:tcPr>
          <w:p>
            <w:pPr>
              <w:spacing w:after="0"/>
              <w:rPr>
                <w:sz w:val="11"/>
                <w:szCs w:val="11"/>
                <w:color w:val="auto"/>
              </w:rPr>
            </w:pPr>
          </w:p>
        </w:tc>
        <w:tc>
          <w:tcPr>
            <w:tcW w:w="980" w:type="dxa"/>
            <w:vAlign w:val="bottom"/>
            <w:tcBorders>
              <w:right w:val="single" w:sz="8" w:color="auto"/>
            </w:tcBorders>
            <w:vMerge w:val="continue"/>
          </w:tcPr>
          <w:p>
            <w:pPr>
              <w:spacing w:after="0"/>
              <w:rPr>
                <w:sz w:val="11"/>
                <w:szCs w:val="11"/>
                <w:color w:val="auto"/>
              </w:rPr>
            </w:pPr>
          </w:p>
        </w:tc>
        <w:tc>
          <w:tcPr>
            <w:tcW w:w="860" w:type="dxa"/>
            <w:vAlign w:val="bottom"/>
            <w:tcBorders>
              <w:right w:val="single" w:sz="8" w:color="auto"/>
            </w:tcBorders>
            <w:vMerge w:val="continue"/>
          </w:tcPr>
          <w:p>
            <w:pPr>
              <w:spacing w:after="0"/>
              <w:rPr>
                <w:sz w:val="11"/>
                <w:szCs w:val="11"/>
                <w:color w:val="auto"/>
              </w:rPr>
            </w:pPr>
          </w:p>
        </w:tc>
        <w:tc>
          <w:tcPr>
            <w:tcW w:w="1560" w:type="dxa"/>
            <w:vAlign w:val="bottom"/>
            <w:tcBorders>
              <w:right w:val="single" w:sz="8" w:color="auto"/>
            </w:tcBorders>
            <w:vMerge w:val="restart"/>
          </w:tcPr>
          <w:p>
            <w:pPr>
              <w:ind w:left="100"/>
              <w:spacing w:after="0" w:line="240" w:lineRule="exact"/>
              <w:rPr>
                <w:sz w:val="20"/>
                <w:szCs w:val="20"/>
                <w:color w:val="auto"/>
              </w:rPr>
            </w:pPr>
            <w:r>
              <w:rPr>
                <w:rFonts w:ascii="仿宋" w:cs="仿宋" w:eastAsia="仿宋" w:hAnsi="仿宋"/>
                <w:sz w:val="21"/>
                <w:szCs w:val="21"/>
                <w:color w:val="auto"/>
              </w:rPr>
              <w:t>（PC 服务器可</w:t>
            </w:r>
          </w:p>
        </w:tc>
        <w:tc>
          <w:tcPr>
            <w:tcW w:w="11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80" w:type="dxa"/>
            <w:vAlign w:val="bottom"/>
            <w:tcBorders>
              <w:left w:val="single" w:sz="8" w:color="auto"/>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98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56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980" w:type="dxa"/>
            <w:vAlign w:val="bottom"/>
            <w:tcBorders>
              <w:left w:val="single" w:sz="8" w:color="auto"/>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9"/>
              </w:rPr>
              <w:t>集群扩展）</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5"/>
        </w:trPr>
        <w:tc>
          <w:tcPr>
            <w:tcW w:w="9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100-300</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5"/>
              </w:rPr>
              <w:t>60</w:t>
            </w:r>
          </w:p>
        </w:tc>
        <w:tc>
          <w:tcPr>
            <w:tcW w:w="114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5"/>
              </w:rPr>
              <w:t>22</w:t>
            </w:r>
          </w:p>
        </w:tc>
        <w:tc>
          <w:tcPr>
            <w:tcW w:w="114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64</w:t>
            </w:r>
          </w:p>
        </w:tc>
        <w:tc>
          <w:tcPr>
            <w:tcW w:w="98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4"/>
              </w:rPr>
              <w:t>8</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5"/>
              </w:rPr>
              <w:t>64</w:t>
            </w:r>
          </w:p>
        </w:tc>
        <w:tc>
          <w:tcPr>
            <w:tcW w:w="1560" w:type="dxa"/>
            <w:vAlign w:val="bottom"/>
            <w:tcBorders>
              <w:right w:val="single" w:sz="8" w:color="auto"/>
            </w:tcBorders>
          </w:tcPr>
          <w:p>
            <w:pPr>
              <w:jc w:val="center"/>
              <w:spacing w:after="0" w:line="235" w:lineRule="exact"/>
              <w:rPr>
                <w:sz w:val="20"/>
                <w:szCs w:val="20"/>
                <w:color w:val="auto"/>
              </w:rPr>
            </w:pPr>
            <w:r>
              <w:rPr>
                <w:rFonts w:ascii="仿宋" w:cs="仿宋" w:eastAsia="仿宋" w:hAnsi="仿宋"/>
                <w:sz w:val="21"/>
                <w:szCs w:val="21"/>
                <w:color w:val="auto"/>
                <w:w w:val="96"/>
              </w:rPr>
              <w:t>小型机*4 或高</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100T</w:t>
            </w:r>
          </w:p>
        </w:tc>
        <w:tc>
          <w:tcPr>
            <w:tcW w:w="0" w:type="dxa"/>
            <w:vAlign w:val="bottom"/>
          </w:tcPr>
          <w:p>
            <w:pPr>
              <w:spacing w:after="0"/>
              <w:rPr>
                <w:sz w:val="1"/>
                <w:szCs w:val="1"/>
                <w:color w:val="auto"/>
              </w:rPr>
            </w:pPr>
          </w:p>
        </w:tc>
      </w:tr>
      <w:tr>
        <w:trPr>
          <w:trHeight w:val="136"/>
        </w:trPr>
        <w:tc>
          <w:tcPr>
            <w:tcW w:w="980" w:type="dxa"/>
            <w:vAlign w:val="bottom"/>
            <w:tcBorders>
              <w:left w:val="single" w:sz="8" w:color="auto"/>
              <w:right w:val="single" w:sz="8" w:color="auto"/>
            </w:tcBorders>
            <w:vMerge w:val="continue"/>
          </w:tcPr>
          <w:p>
            <w:pPr>
              <w:spacing w:after="0"/>
              <w:rPr>
                <w:sz w:val="11"/>
                <w:szCs w:val="11"/>
                <w:color w:val="auto"/>
              </w:rPr>
            </w:pPr>
          </w:p>
        </w:tc>
        <w:tc>
          <w:tcPr>
            <w:tcW w:w="112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vMerge w:val="continue"/>
          </w:tcPr>
          <w:p>
            <w:pPr>
              <w:spacing w:after="0"/>
              <w:rPr>
                <w:sz w:val="11"/>
                <w:szCs w:val="11"/>
                <w:color w:val="auto"/>
              </w:rPr>
            </w:pPr>
          </w:p>
        </w:tc>
        <w:tc>
          <w:tcPr>
            <w:tcW w:w="980" w:type="dxa"/>
            <w:vAlign w:val="bottom"/>
            <w:tcBorders>
              <w:right w:val="single" w:sz="8" w:color="auto"/>
            </w:tcBorders>
            <w:vMerge w:val="continue"/>
          </w:tcPr>
          <w:p>
            <w:pPr>
              <w:spacing w:after="0"/>
              <w:rPr>
                <w:sz w:val="11"/>
                <w:szCs w:val="11"/>
                <w:color w:val="auto"/>
              </w:rPr>
            </w:pPr>
          </w:p>
        </w:tc>
        <w:tc>
          <w:tcPr>
            <w:tcW w:w="860" w:type="dxa"/>
            <w:vAlign w:val="bottom"/>
            <w:tcBorders>
              <w:right w:val="single" w:sz="8" w:color="auto"/>
            </w:tcBorders>
            <w:vMerge w:val="continue"/>
          </w:tcPr>
          <w:p>
            <w:pPr>
              <w:spacing w:after="0"/>
              <w:rPr>
                <w:sz w:val="11"/>
                <w:szCs w:val="11"/>
                <w:color w:val="auto"/>
              </w:rPr>
            </w:pPr>
          </w:p>
        </w:tc>
        <w:tc>
          <w:tcPr>
            <w:tcW w:w="1560" w:type="dxa"/>
            <w:vAlign w:val="bottom"/>
            <w:tcBorders>
              <w:right w:val="single" w:sz="8" w:color="auto"/>
            </w:tcBorders>
            <w:vMerge w:val="restart"/>
          </w:tcPr>
          <w:p>
            <w:pPr>
              <w:ind w:left="80"/>
              <w:spacing w:after="0" w:line="240" w:lineRule="exact"/>
              <w:rPr>
                <w:sz w:val="20"/>
                <w:szCs w:val="20"/>
                <w:color w:val="auto"/>
              </w:rPr>
            </w:pPr>
            <w:r>
              <w:rPr>
                <w:rFonts w:ascii="仿宋" w:cs="仿宋" w:eastAsia="仿宋" w:hAnsi="仿宋"/>
                <w:sz w:val="21"/>
                <w:szCs w:val="21"/>
                <w:color w:val="auto"/>
                <w:w w:val="97"/>
              </w:rPr>
              <w:t>端 PC 服务器*4</w:t>
            </w:r>
          </w:p>
        </w:tc>
        <w:tc>
          <w:tcPr>
            <w:tcW w:w="11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980" w:type="dxa"/>
            <w:vAlign w:val="bottom"/>
            <w:tcBorders>
              <w:left w:val="single" w:sz="8" w:color="auto"/>
              <w:right w:val="single" w:sz="8" w:color="auto"/>
            </w:tcBorders>
          </w:tcPr>
          <w:p>
            <w:pPr>
              <w:spacing w:after="0"/>
              <w:rPr>
                <w:sz w:val="11"/>
                <w:szCs w:val="11"/>
                <w:color w:val="auto"/>
              </w:rPr>
            </w:pPr>
          </w:p>
        </w:tc>
        <w:tc>
          <w:tcPr>
            <w:tcW w:w="112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98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1560" w:type="dxa"/>
            <w:vAlign w:val="bottom"/>
            <w:tcBorders>
              <w:right w:val="single" w:sz="8" w:color="auto"/>
            </w:tcBorders>
            <w:vMerge w:val="continue"/>
          </w:tcPr>
          <w:p>
            <w:pPr>
              <w:spacing w:after="0"/>
              <w:rPr>
                <w:sz w:val="11"/>
                <w:szCs w:val="11"/>
                <w:color w:val="auto"/>
              </w:rPr>
            </w:pPr>
          </w:p>
        </w:tc>
        <w:tc>
          <w:tcPr>
            <w:tcW w:w="1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8"/>
        </w:trPr>
        <w:tc>
          <w:tcPr>
            <w:tcW w:w="980" w:type="dxa"/>
            <w:vAlign w:val="bottom"/>
            <w:tcBorders>
              <w:left w:val="single" w:sz="8" w:color="auto"/>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980" w:type="dxa"/>
            <w:vAlign w:val="bottom"/>
            <w:tcBorders>
              <w:left w:val="single" w:sz="8" w:color="auto"/>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rPr>
              <w:t>60-100</w:t>
            </w:r>
          </w:p>
        </w:tc>
        <w:tc>
          <w:tcPr>
            <w:tcW w:w="112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8"/>
              </w:rPr>
              <w:t>36-60</w:t>
            </w:r>
          </w:p>
        </w:tc>
        <w:tc>
          <w:tcPr>
            <w:tcW w:w="114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8"/>
              </w:rPr>
              <w:t>12-20</w:t>
            </w:r>
          </w:p>
        </w:tc>
        <w:tc>
          <w:tcPr>
            <w:tcW w:w="114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rPr>
              <w:t>36-60</w:t>
            </w:r>
          </w:p>
        </w:tc>
        <w:tc>
          <w:tcPr>
            <w:tcW w:w="98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4"/>
              </w:rPr>
              <w:t>6</w:t>
            </w:r>
          </w:p>
        </w:tc>
        <w:tc>
          <w:tcPr>
            <w:tcW w:w="86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5"/>
              </w:rPr>
              <w:t>32</w:t>
            </w:r>
          </w:p>
        </w:tc>
        <w:tc>
          <w:tcPr>
            <w:tcW w:w="1560" w:type="dxa"/>
            <w:vAlign w:val="bottom"/>
            <w:tcBorders>
              <w:right w:val="single" w:sz="8" w:color="auto"/>
            </w:tcBorders>
          </w:tcPr>
          <w:p>
            <w:pPr>
              <w:ind w:left="80"/>
              <w:spacing w:after="0" w:line="234" w:lineRule="exact"/>
              <w:rPr>
                <w:sz w:val="20"/>
                <w:szCs w:val="20"/>
                <w:color w:val="auto"/>
              </w:rPr>
            </w:pPr>
            <w:r>
              <w:rPr>
                <w:rFonts w:ascii="仿宋" w:cs="仿宋" w:eastAsia="仿宋" w:hAnsi="仿宋"/>
                <w:sz w:val="21"/>
                <w:szCs w:val="21"/>
                <w:color w:val="auto"/>
                <w:w w:val="97"/>
              </w:rPr>
              <w:t>高端 PC 服务器</w:t>
            </w:r>
          </w:p>
        </w:tc>
        <w:tc>
          <w:tcPr>
            <w:tcW w:w="112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rPr>
              <w:t>60T</w:t>
            </w:r>
          </w:p>
        </w:tc>
        <w:tc>
          <w:tcPr>
            <w:tcW w:w="0" w:type="dxa"/>
            <w:vAlign w:val="bottom"/>
          </w:tcPr>
          <w:p>
            <w:pPr>
              <w:spacing w:after="0"/>
              <w:rPr>
                <w:sz w:val="1"/>
                <w:szCs w:val="1"/>
                <w:color w:val="auto"/>
              </w:rPr>
            </w:pPr>
          </w:p>
        </w:tc>
      </w:tr>
      <w:tr>
        <w:trPr>
          <w:trHeight w:val="272"/>
        </w:trPr>
        <w:tc>
          <w:tcPr>
            <w:tcW w:w="980" w:type="dxa"/>
            <w:vAlign w:val="bottom"/>
            <w:tcBorders>
              <w:left w:val="single" w:sz="8" w:color="auto"/>
              <w:right w:val="single" w:sz="8" w:color="auto"/>
            </w:tcBorders>
          </w:tcPr>
          <w:p>
            <w:pPr>
              <w:spacing w:after="0"/>
              <w:rPr>
                <w:sz w:val="23"/>
                <w:szCs w:val="23"/>
                <w:color w:val="auto"/>
              </w:rPr>
            </w:pPr>
          </w:p>
        </w:tc>
        <w:tc>
          <w:tcPr>
            <w:tcW w:w="11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9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5"/>
              </w:rPr>
              <w:t>*4</w:t>
            </w:r>
          </w:p>
        </w:tc>
        <w:tc>
          <w:tcPr>
            <w:tcW w:w="1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
        </w:trPr>
        <w:tc>
          <w:tcPr>
            <w:tcW w:w="980" w:type="dxa"/>
            <w:vAlign w:val="bottom"/>
            <w:tcBorders>
              <w:left w:val="single" w:sz="8" w:color="auto"/>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980" w:type="dxa"/>
            <w:vAlign w:val="bottom"/>
            <w:tcBorders>
              <w:left w:val="single" w:sz="8" w:color="auto"/>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8"/>
              </w:rPr>
              <w:t>30-60</w:t>
            </w:r>
          </w:p>
        </w:tc>
        <w:tc>
          <w:tcPr>
            <w:tcW w:w="112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8"/>
              </w:rPr>
              <w:t>18-36</w:t>
            </w:r>
          </w:p>
        </w:tc>
        <w:tc>
          <w:tcPr>
            <w:tcW w:w="114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9"/>
              </w:rPr>
              <w:t>6-12</w:t>
            </w:r>
          </w:p>
        </w:tc>
        <w:tc>
          <w:tcPr>
            <w:tcW w:w="114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rPr>
              <w:t>18-36</w:t>
            </w:r>
          </w:p>
        </w:tc>
        <w:tc>
          <w:tcPr>
            <w:tcW w:w="98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4"/>
              </w:rPr>
              <w:t>4</w:t>
            </w:r>
          </w:p>
        </w:tc>
        <w:tc>
          <w:tcPr>
            <w:tcW w:w="86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5"/>
              </w:rPr>
              <w:t>16</w:t>
            </w:r>
          </w:p>
        </w:tc>
        <w:tc>
          <w:tcPr>
            <w:tcW w:w="1560" w:type="dxa"/>
            <w:vAlign w:val="bottom"/>
            <w:tcBorders>
              <w:right w:val="single" w:sz="8" w:color="auto"/>
            </w:tcBorders>
          </w:tcPr>
          <w:p>
            <w:pPr>
              <w:ind w:left="80"/>
              <w:spacing w:after="0" w:line="234" w:lineRule="exact"/>
              <w:rPr>
                <w:sz w:val="20"/>
                <w:szCs w:val="20"/>
                <w:color w:val="auto"/>
              </w:rPr>
            </w:pPr>
            <w:r>
              <w:rPr>
                <w:rFonts w:ascii="仿宋" w:cs="仿宋" w:eastAsia="仿宋" w:hAnsi="仿宋"/>
                <w:sz w:val="21"/>
                <w:szCs w:val="21"/>
                <w:color w:val="auto"/>
                <w:w w:val="97"/>
              </w:rPr>
              <w:t>中高端 PC 服务</w:t>
            </w:r>
          </w:p>
        </w:tc>
        <w:tc>
          <w:tcPr>
            <w:tcW w:w="112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rPr>
              <w:t>40T</w:t>
            </w:r>
          </w:p>
        </w:tc>
        <w:tc>
          <w:tcPr>
            <w:tcW w:w="0" w:type="dxa"/>
            <w:vAlign w:val="bottom"/>
          </w:tcPr>
          <w:p>
            <w:pPr>
              <w:spacing w:after="0"/>
              <w:rPr>
                <w:sz w:val="1"/>
                <w:szCs w:val="1"/>
                <w:color w:val="auto"/>
              </w:rPr>
            </w:pPr>
          </w:p>
        </w:tc>
      </w:tr>
      <w:tr>
        <w:trPr>
          <w:trHeight w:val="272"/>
        </w:trPr>
        <w:tc>
          <w:tcPr>
            <w:tcW w:w="980" w:type="dxa"/>
            <w:vAlign w:val="bottom"/>
            <w:tcBorders>
              <w:left w:val="single" w:sz="8" w:color="auto"/>
              <w:right w:val="single" w:sz="8" w:color="auto"/>
            </w:tcBorders>
          </w:tcPr>
          <w:p>
            <w:pPr>
              <w:spacing w:after="0"/>
              <w:rPr>
                <w:sz w:val="23"/>
                <w:szCs w:val="23"/>
                <w:color w:val="auto"/>
              </w:rPr>
            </w:pPr>
          </w:p>
        </w:tc>
        <w:tc>
          <w:tcPr>
            <w:tcW w:w="11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9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9"/>
              </w:rPr>
              <w:t>器*4</w:t>
            </w:r>
          </w:p>
        </w:tc>
        <w:tc>
          <w:tcPr>
            <w:tcW w:w="1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
        </w:trPr>
        <w:tc>
          <w:tcPr>
            <w:tcW w:w="980" w:type="dxa"/>
            <w:vAlign w:val="bottom"/>
            <w:tcBorders>
              <w:left w:val="single" w:sz="8" w:color="auto"/>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980" w:type="dxa"/>
            <w:vAlign w:val="bottom"/>
            <w:tcBorders>
              <w:left w:val="single" w:sz="8" w:color="auto"/>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8"/>
              </w:rPr>
              <w:t>10-30</w:t>
            </w:r>
          </w:p>
        </w:tc>
        <w:tc>
          <w:tcPr>
            <w:tcW w:w="112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9"/>
              </w:rPr>
              <w:t>6-18</w:t>
            </w:r>
          </w:p>
        </w:tc>
        <w:tc>
          <w:tcPr>
            <w:tcW w:w="114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rPr>
              <w:t>2-6</w:t>
            </w:r>
          </w:p>
        </w:tc>
        <w:tc>
          <w:tcPr>
            <w:tcW w:w="114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9"/>
              </w:rPr>
              <w:t>6-18</w:t>
            </w:r>
          </w:p>
        </w:tc>
        <w:tc>
          <w:tcPr>
            <w:tcW w:w="98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4"/>
              </w:rPr>
              <w:t>2</w:t>
            </w:r>
          </w:p>
        </w:tc>
        <w:tc>
          <w:tcPr>
            <w:tcW w:w="86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w w:val="95"/>
              </w:rPr>
              <w:t>16</w:t>
            </w:r>
          </w:p>
        </w:tc>
        <w:tc>
          <w:tcPr>
            <w:tcW w:w="1560" w:type="dxa"/>
            <w:vAlign w:val="bottom"/>
            <w:tcBorders>
              <w:right w:val="single" w:sz="8" w:color="auto"/>
            </w:tcBorders>
          </w:tcPr>
          <w:p>
            <w:pPr>
              <w:ind w:left="80"/>
              <w:spacing w:after="0" w:line="234" w:lineRule="exact"/>
              <w:rPr>
                <w:sz w:val="20"/>
                <w:szCs w:val="20"/>
                <w:color w:val="auto"/>
              </w:rPr>
            </w:pPr>
            <w:r>
              <w:rPr>
                <w:rFonts w:ascii="仿宋" w:cs="仿宋" w:eastAsia="仿宋" w:hAnsi="仿宋"/>
                <w:sz w:val="21"/>
                <w:szCs w:val="21"/>
                <w:color w:val="auto"/>
                <w:w w:val="97"/>
              </w:rPr>
              <w:t>中端 PC 服务器</w:t>
            </w:r>
          </w:p>
        </w:tc>
        <w:tc>
          <w:tcPr>
            <w:tcW w:w="1120" w:type="dxa"/>
            <w:vAlign w:val="bottom"/>
            <w:tcBorders>
              <w:right w:val="single" w:sz="8" w:color="auto"/>
            </w:tcBorders>
          </w:tcPr>
          <w:p>
            <w:pPr>
              <w:jc w:val="center"/>
              <w:spacing w:after="0" w:line="234" w:lineRule="exact"/>
              <w:rPr>
                <w:sz w:val="20"/>
                <w:szCs w:val="20"/>
                <w:color w:val="auto"/>
              </w:rPr>
            </w:pPr>
            <w:r>
              <w:rPr>
                <w:rFonts w:ascii="仿宋" w:cs="仿宋" w:eastAsia="仿宋" w:hAnsi="仿宋"/>
                <w:sz w:val="21"/>
                <w:szCs w:val="21"/>
                <w:color w:val="auto"/>
              </w:rPr>
              <w:t>20T</w:t>
            </w:r>
          </w:p>
        </w:tc>
        <w:tc>
          <w:tcPr>
            <w:tcW w:w="0" w:type="dxa"/>
            <w:vAlign w:val="bottom"/>
          </w:tcPr>
          <w:p>
            <w:pPr>
              <w:spacing w:after="0"/>
              <w:rPr>
                <w:sz w:val="1"/>
                <w:szCs w:val="1"/>
                <w:color w:val="auto"/>
              </w:rPr>
            </w:pPr>
          </w:p>
        </w:tc>
      </w:tr>
      <w:tr>
        <w:trPr>
          <w:trHeight w:val="272"/>
        </w:trPr>
        <w:tc>
          <w:tcPr>
            <w:tcW w:w="980" w:type="dxa"/>
            <w:vAlign w:val="bottom"/>
            <w:tcBorders>
              <w:left w:val="single" w:sz="8" w:color="auto"/>
              <w:right w:val="single" w:sz="8" w:color="auto"/>
            </w:tcBorders>
          </w:tcPr>
          <w:p>
            <w:pPr>
              <w:spacing w:after="0"/>
              <w:rPr>
                <w:sz w:val="23"/>
                <w:szCs w:val="23"/>
                <w:color w:val="auto"/>
              </w:rPr>
            </w:pPr>
          </w:p>
        </w:tc>
        <w:tc>
          <w:tcPr>
            <w:tcW w:w="11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9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5"/>
              </w:rPr>
              <w:t>*4</w:t>
            </w:r>
          </w:p>
        </w:tc>
        <w:tc>
          <w:tcPr>
            <w:tcW w:w="1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
        </w:trPr>
        <w:tc>
          <w:tcPr>
            <w:tcW w:w="980" w:type="dxa"/>
            <w:vAlign w:val="bottom"/>
            <w:tcBorders>
              <w:left w:val="single" w:sz="8" w:color="auto"/>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5"/>
        </w:trPr>
        <w:tc>
          <w:tcPr>
            <w:tcW w:w="980" w:type="dxa"/>
            <w:vAlign w:val="bottom"/>
            <w:tcBorders>
              <w:left w:val="single" w:sz="8" w:color="auto"/>
              <w:right w:val="single" w:sz="8" w:color="auto"/>
            </w:tcBorders>
          </w:tcPr>
          <w:p>
            <w:pPr>
              <w:jc w:val="center"/>
              <w:spacing w:after="0" w:line="235" w:lineRule="exact"/>
              <w:rPr>
                <w:sz w:val="20"/>
                <w:szCs w:val="20"/>
                <w:color w:val="auto"/>
              </w:rPr>
            </w:pPr>
            <w:r>
              <w:rPr>
                <w:rFonts w:ascii="仿宋" w:cs="仿宋" w:eastAsia="仿宋" w:hAnsi="仿宋"/>
                <w:sz w:val="21"/>
                <w:szCs w:val="21"/>
                <w:color w:val="auto"/>
                <w:w w:val="92"/>
              </w:rPr>
              <w:t>10 以下</w:t>
            </w:r>
          </w:p>
        </w:tc>
        <w:tc>
          <w:tcPr>
            <w:tcW w:w="1120" w:type="dxa"/>
            <w:vAlign w:val="bottom"/>
            <w:tcBorders>
              <w:right w:val="single" w:sz="8" w:color="auto"/>
            </w:tcBorders>
          </w:tcPr>
          <w:p>
            <w:pPr>
              <w:jc w:val="center"/>
              <w:spacing w:after="0" w:line="235" w:lineRule="exact"/>
              <w:rPr>
                <w:sz w:val="20"/>
                <w:szCs w:val="20"/>
                <w:color w:val="auto"/>
              </w:rPr>
            </w:pPr>
            <w:r>
              <w:rPr>
                <w:rFonts w:ascii="仿宋" w:cs="仿宋" w:eastAsia="仿宋" w:hAnsi="仿宋"/>
                <w:sz w:val="21"/>
                <w:szCs w:val="21"/>
                <w:color w:val="auto"/>
                <w:w w:val="94"/>
              </w:rPr>
              <w:t>6</w:t>
            </w:r>
          </w:p>
        </w:tc>
        <w:tc>
          <w:tcPr>
            <w:tcW w:w="1140" w:type="dxa"/>
            <w:vAlign w:val="bottom"/>
            <w:tcBorders>
              <w:right w:val="single" w:sz="8" w:color="auto"/>
            </w:tcBorders>
          </w:tcPr>
          <w:p>
            <w:pPr>
              <w:jc w:val="center"/>
              <w:spacing w:after="0" w:line="235" w:lineRule="exact"/>
              <w:rPr>
                <w:sz w:val="20"/>
                <w:szCs w:val="20"/>
                <w:color w:val="auto"/>
              </w:rPr>
            </w:pPr>
            <w:r>
              <w:rPr>
                <w:rFonts w:ascii="仿宋" w:cs="仿宋" w:eastAsia="仿宋" w:hAnsi="仿宋"/>
                <w:sz w:val="21"/>
                <w:szCs w:val="21"/>
                <w:color w:val="auto"/>
                <w:w w:val="94"/>
              </w:rPr>
              <w:t>2</w:t>
            </w:r>
          </w:p>
        </w:tc>
        <w:tc>
          <w:tcPr>
            <w:tcW w:w="1140" w:type="dxa"/>
            <w:vAlign w:val="bottom"/>
            <w:tcBorders>
              <w:right w:val="single" w:sz="8" w:color="auto"/>
            </w:tcBorders>
          </w:tcPr>
          <w:p>
            <w:pPr>
              <w:jc w:val="center"/>
              <w:spacing w:after="0" w:line="235" w:lineRule="exact"/>
              <w:rPr>
                <w:sz w:val="20"/>
                <w:szCs w:val="20"/>
                <w:color w:val="auto"/>
              </w:rPr>
            </w:pPr>
            <w:r>
              <w:rPr>
                <w:rFonts w:ascii="仿宋" w:cs="仿宋" w:eastAsia="仿宋" w:hAnsi="仿宋"/>
                <w:sz w:val="21"/>
                <w:szCs w:val="21"/>
                <w:color w:val="auto"/>
                <w:w w:val="94"/>
              </w:rPr>
              <w:t>6</w:t>
            </w:r>
          </w:p>
        </w:tc>
        <w:tc>
          <w:tcPr>
            <w:tcW w:w="980" w:type="dxa"/>
            <w:vAlign w:val="bottom"/>
            <w:tcBorders>
              <w:right w:val="single" w:sz="8" w:color="auto"/>
            </w:tcBorders>
          </w:tcPr>
          <w:p>
            <w:pPr>
              <w:jc w:val="center"/>
              <w:spacing w:after="0" w:line="235" w:lineRule="exact"/>
              <w:rPr>
                <w:sz w:val="20"/>
                <w:szCs w:val="20"/>
                <w:color w:val="auto"/>
              </w:rPr>
            </w:pPr>
            <w:r>
              <w:rPr>
                <w:rFonts w:ascii="仿宋" w:cs="仿宋" w:eastAsia="仿宋" w:hAnsi="仿宋"/>
                <w:sz w:val="21"/>
                <w:szCs w:val="21"/>
                <w:color w:val="auto"/>
                <w:w w:val="94"/>
              </w:rPr>
              <w:t>2</w:t>
            </w:r>
          </w:p>
        </w:tc>
        <w:tc>
          <w:tcPr>
            <w:tcW w:w="860" w:type="dxa"/>
            <w:vAlign w:val="bottom"/>
            <w:tcBorders>
              <w:right w:val="single" w:sz="8" w:color="auto"/>
            </w:tcBorders>
          </w:tcPr>
          <w:p>
            <w:pPr>
              <w:jc w:val="center"/>
              <w:spacing w:after="0" w:line="235" w:lineRule="exact"/>
              <w:rPr>
                <w:sz w:val="20"/>
                <w:szCs w:val="20"/>
                <w:color w:val="auto"/>
              </w:rPr>
            </w:pPr>
            <w:r>
              <w:rPr>
                <w:rFonts w:ascii="仿宋" w:cs="仿宋" w:eastAsia="仿宋" w:hAnsi="仿宋"/>
                <w:sz w:val="21"/>
                <w:szCs w:val="21"/>
                <w:color w:val="auto"/>
                <w:w w:val="94"/>
              </w:rPr>
              <w:t>8</w:t>
            </w:r>
          </w:p>
        </w:tc>
        <w:tc>
          <w:tcPr>
            <w:tcW w:w="1560" w:type="dxa"/>
            <w:vAlign w:val="bottom"/>
            <w:tcBorders>
              <w:right w:val="single" w:sz="8" w:color="auto"/>
            </w:tcBorders>
          </w:tcPr>
          <w:p>
            <w:pPr>
              <w:ind w:left="80"/>
              <w:spacing w:after="0" w:line="235" w:lineRule="exact"/>
              <w:rPr>
                <w:sz w:val="20"/>
                <w:szCs w:val="20"/>
                <w:color w:val="auto"/>
              </w:rPr>
            </w:pPr>
            <w:r>
              <w:rPr>
                <w:rFonts w:ascii="仿宋" w:cs="仿宋" w:eastAsia="仿宋" w:hAnsi="仿宋"/>
                <w:sz w:val="21"/>
                <w:szCs w:val="21"/>
                <w:color w:val="auto"/>
                <w:w w:val="97"/>
              </w:rPr>
              <w:t>中低端 PC 服务</w:t>
            </w:r>
          </w:p>
        </w:tc>
        <w:tc>
          <w:tcPr>
            <w:tcW w:w="1120" w:type="dxa"/>
            <w:vAlign w:val="bottom"/>
            <w:tcBorders>
              <w:right w:val="single" w:sz="8" w:color="auto"/>
            </w:tcBorders>
          </w:tcPr>
          <w:p>
            <w:pPr>
              <w:jc w:val="center"/>
              <w:spacing w:after="0" w:line="235" w:lineRule="exact"/>
              <w:rPr>
                <w:sz w:val="20"/>
                <w:szCs w:val="20"/>
                <w:color w:val="auto"/>
              </w:rPr>
            </w:pPr>
            <w:r>
              <w:rPr>
                <w:rFonts w:ascii="仿宋" w:cs="仿宋" w:eastAsia="仿宋" w:hAnsi="仿宋"/>
                <w:sz w:val="21"/>
                <w:szCs w:val="21"/>
                <w:color w:val="auto"/>
              </w:rPr>
              <w:t>6T</w:t>
            </w:r>
          </w:p>
        </w:tc>
        <w:tc>
          <w:tcPr>
            <w:tcW w:w="0" w:type="dxa"/>
            <w:vAlign w:val="bottom"/>
          </w:tcPr>
          <w:p>
            <w:pPr>
              <w:spacing w:after="0"/>
              <w:rPr>
                <w:sz w:val="1"/>
                <w:szCs w:val="1"/>
                <w:color w:val="auto"/>
              </w:rPr>
            </w:pPr>
          </w:p>
        </w:tc>
      </w:tr>
      <w:tr>
        <w:trPr>
          <w:trHeight w:val="272"/>
        </w:trPr>
        <w:tc>
          <w:tcPr>
            <w:tcW w:w="980" w:type="dxa"/>
            <w:vAlign w:val="bottom"/>
            <w:tcBorders>
              <w:left w:val="single" w:sz="8" w:color="auto"/>
              <w:right w:val="single" w:sz="8" w:color="auto"/>
            </w:tcBorders>
          </w:tcPr>
          <w:p>
            <w:pPr>
              <w:spacing w:after="0"/>
              <w:rPr>
                <w:sz w:val="23"/>
                <w:szCs w:val="23"/>
                <w:color w:val="auto"/>
              </w:rPr>
            </w:pPr>
          </w:p>
        </w:tc>
        <w:tc>
          <w:tcPr>
            <w:tcW w:w="11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9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9"/>
              </w:rPr>
              <w:t>器*4</w:t>
            </w:r>
          </w:p>
        </w:tc>
        <w:tc>
          <w:tcPr>
            <w:tcW w:w="1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
        </w:trPr>
        <w:tc>
          <w:tcPr>
            <w:tcW w:w="980" w:type="dxa"/>
            <w:vAlign w:val="bottom"/>
            <w:tcBorders>
              <w:left w:val="single" w:sz="8" w:color="auto"/>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32" w:lineRule="exact"/>
        <w:rPr>
          <w:sz w:val="20"/>
          <w:szCs w:val="20"/>
          <w:color w:val="auto"/>
        </w:rPr>
      </w:pPr>
    </w:p>
    <w:p>
      <w:pPr>
        <w:ind w:left="540"/>
        <w:spacing w:after="0" w:line="274" w:lineRule="exact"/>
        <w:rPr>
          <w:sz w:val="20"/>
          <w:szCs w:val="20"/>
          <w:color w:val="auto"/>
        </w:rPr>
      </w:pPr>
      <w:r>
        <w:rPr>
          <w:rFonts w:ascii="仿宋" w:cs="仿宋" w:eastAsia="仿宋" w:hAnsi="仿宋"/>
          <w:sz w:val="24"/>
          <w:szCs w:val="24"/>
          <w:color w:val="auto"/>
        </w:rPr>
        <w:t>注：1．服务外包的单位，可以使用云主机替代小型机或 PC 服务器。</w:t>
      </w:r>
    </w:p>
    <w:p>
      <w:pPr>
        <w:spacing w:after="0" w:line="367" w:lineRule="exact"/>
        <w:rPr>
          <w:sz w:val="20"/>
          <w:szCs w:val="20"/>
          <w:color w:val="auto"/>
        </w:rPr>
      </w:pPr>
    </w:p>
    <w:p>
      <w:pPr>
        <w:ind w:left="1020"/>
        <w:spacing w:after="0" w:line="274" w:lineRule="exact"/>
        <w:rPr>
          <w:sz w:val="20"/>
          <w:szCs w:val="20"/>
          <w:color w:val="auto"/>
        </w:rPr>
      </w:pPr>
      <w:r>
        <w:rPr>
          <w:rFonts w:ascii="仿宋" w:cs="仿宋" w:eastAsia="仿宋" w:hAnsi="仿宋"/>
          <w:sz w:val="24"/>
          <w:szCs w:val="24"/>
          <w:color w:val="auto"/>
        </w:rPr>
        <w:t>2．建议高速存储容量不包含电子档案存储容量。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259"/>
        <w:spacing w:after="0" w:line="274" w:lineRule="exact"/>
        <w:rPr>
          <w:sz w:val="20"/>
          <w:szCs w:val="20"/>
          <w:color w:val="auto"/>
        </w:rPr>
      </w:pPr>
      <w:r>
        <w:rPr>
          <w:rFonts w:ascii="宋体" w:cs="宋体" w:eastAsia="宋体" w:hAnsi="宋体"/>
          <w:sz w:val="24"/>
          <w:szCs w:val="24"/>
          <w:color w:val="auto"/>
        </w:rPr>
        <w:t>- 19 -</w:t>
      </w:r>
    </w:p>
    <w:sectPr>
      <w:pgSz w:w="11900" w:h="16840" w:orient="portrait"/>
      <w:cols w:equalWidth="0" w:num="1">
        <w:col w:w="9340"/>
      </w:cols>
      <w:pgMar w:left="1440" w:top="1440" w:right="1124" w:bottom="46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Microsoft Sans Serif">
    <w:panose1 w:val="020B0604020202020204"/>
    <w:charset w:val="DE"/>
    <w:family w:val="swiss"/>
    <w:pitch w:val="variable"/>
    <w:sig w:usb0="E5002EFF" w:usb1="C000605B" w:usb2="00000029" w:usb3="00000000" w:csb0="200101FF" w:csb1="20280000"/>
  </w:font>
</w:fonts>
</file>

<file path=word/numbering.xml><?xml version="1.0" encoding="utf-8"?>
<w:numbering xmlns:w="http://schemas.openxmlformats.org/wordprocessingml/2006/main">
  <w:abstractNum w:abstractNumId="0">
    <w:nsid w:val="6DF1"/>
    <w:multiLevelType w:val="hybridMultilevel"/>
    <w:lvl w:ilvl="0">
      <w:lvlJc w:val="left"/>
      <w:lvlText w:val="1"/>
      <w:numFmt w:val="bullet"/>
      <w:start w:val="1"/>
    </w:lvl>
  </w:abstractNum>
  <w:abstractNum w:abstractNumId="1">
    <w:nsid w:val="5AF1"/>
    <w:multiLevelType w:val="hybridMultilevel"/>
    <w:lvl w:ilvl="0">
      <w:lvlJc w:val="left"/>
      <w:lvlText w:val="2"/>
      <w:numFmt w:val="bullet"/>
      <w:start w:val="1"/>
    </w:lvl>
  </w:abstractNum>
  <w:abstractNum w:abstractNumId="2">
    <w:nsid w:val="41BB"/>
    <w:multiLevelType w:val="hybridMultilevel"/>
    <w:lvl w:ilvl="0">
      <w:lvlJc w:val="left"/>
      <w:lvlText w:val="3"/>
      <w:numFmt w:val="bullet"/>
      <w:start w:val="1"/>
    </w:lvl>
  </w:abstractNum>
  <w:abstractNum w:abstractNumId="3">
    <w:nsid w:val="26E9"/>
    <w:multiLevelType w:val="hybridMultilevel"/>
    <w:lvl w:ilvl="0">
      <w:lvlJc w:val="left"/>
      <w:lvlText w:val="4"/>
      <w:numFmt w:val="bullet"/>
      <w:start w:val="1"/>
    </w:lvl>
  </w:abstractNum>
  <w:abstractNum w:abstractNumId="4">
    <w:nsid w:val="1EB"/>
    <w:multiLevelType w:val="hybridMultilevel"/>
    <w:lvl w:ilvl="0">
      <w:lvlJc w:val="left"/>
      <w:lvlText w:val="5"/>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2017-10-23T16:58:28Z</dcterms:created>
  <dcterms:modified xsi:type="dcterms:W3CDTF">2017-10-23T16:58:28Z</dcterms:modified>
</cp:coreProperties>
</file>